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367" w:rsidRPr="002874CC" w:rsidRDefault="006D4367" w:rsidP="005560BA">
      <w:pPr>
        <w:jc w:val="both"/>
        <w:rPr>
          <w:rFonts w:ascii="Calibri" w:hAnsi="Calibri" w:cs="Arial"/>
          <w:b/>
          <w:sz w:val="36"/>
          <w:szCs w:val="36"/>
        </w:rPr>
      </w:pPr>
      <w:bookmarkStart w:id="0" w:name="_GoBack"/>
      <w:bookmarkEnd w:id="0"/>
      <w:r w:rsidRPr="002874CC">
        <w:rPr>
          <w:rFonts w:ascii="Calibri" w:hAnsi="Calibri" w:cs="Arial"/>
          <w:b/>
          <w:noProof/>
          <w:sz w:val="36"/>
          <w:szCs w:val="36"/>
          <w:lang w:eastAsia="en-NZ"/>
        </w:rPr>
        <w:drawing>
          <wp:anchor distT="0" distB="0" distL="114300" distR="114300" simplePos="0" relativeHeight="251661312" behindDoc="0" locked="0" layoutInCell="1" allowOverlap="1">
            <wp:simplePos x="0" y="0"/>
            <wp:positionH relativeFrom="margin">
              <wp:posOffset>4979670</wp:posOffset>
            </wp:positionH>
            <wp:positionV relativeFrom="margin">
              <wp:posOffset>-344805</wp:posOffset>
            </wp:positionV>
            <wp:extent cx="1132840" cy="973455"/>
            <wp:effectExtent l="19050" t="0" r="0" b="0"/>
            <wp:wrapSquare wrapText="bothSides"/>
            <wp:docPr id="1" name="Picture 3" descr="C:\Documents and Settings\bidov\Desktop\Whanau o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bidov\Desktop\Whanau ora logo.jpg"/>
                    <pic:cNvPicPr>
                      <a:picLocks noChangeAspect="1" noChangeArrowheads="1"/>
                    </pic:cNvPicPr>
                  </pic:nvPicPr>
                  <pic:blipFill>
                    <a:blip r:embed="rId8" cstate="print"/>
                    <a:srcRect/>
                    <a:stretch>
                      <a:fillRect/>
                    </a:stretch>
                  </pic:blipFill>
                  <pic:spPr bwMode="auto">
                    <a:xfrm>
                      <a:off x="0" y="0"/>
                      <a:ext cx="1132840" cy="973455"/>
                    </a:xfrm>
                    <a:prstGeom prst="rect">
                      <a:avLst/>
                    </a:prstGeom>
                    <a:noFill/>
                    <a:ln w="9525">
                      <a:noFill/>
                      <a:miter lim="800000"/>
                      <a:headEnd/>
                      <a:tailEnd/>
                    </a:ln>
                  </pic:spPr>
                </pic:pic>
              </a:graphicData>
            </a:graphic>
          </wp:anchor>
        </w:drawing>
      </w:r>
      <w:r w:rsidR="00C31B8F">
        <w:rPr>
          <w:rFonts w:ascii="Calibri" w:hAnsi="Calibri" w:cs="Arial"/>
          <w:b/>
          <w:noProof/>
          <w:sz w:val="36"/>
          <w:szCs w:val="36"/>
          <w:lang w:eastAsia="en-NZ"/>
        </w:rPr>
        <w:t>MARKET SOUNDING BRIEF</w:t>
      </w:r>
    </w:p>
    <w:p w:rsidR="006D4367" w:rsidRDefault="00C57130" w:rsidP="00F04D06">
      <w:pPr>
        <w:pStyle w:val="Style1"/>
        <w:spacing w:after="0" w:line="240" w:lineRule="auto"/>
        <w:rPr>
          <w:rFonts w:asciiTheme="minorHAnsi" w:hAnsiTheme="minorHAnsi"/>
          <w:color w:val="auto"/>
          <w:sz w:val="32"/>
          <w:szCs w:val="32"/>
        </w:rPr>
      </w:pPr>
      <w:r>
        <w:rPr>
          <w:rFonts w:asciiTheme="minorHAnsi" w:hAnsiTheme="minorHAnsi"/>
          <w:color w:val="auto"/>
          <w:sz w:val="32"/>
          <w:szCs w:val="32"/>
        </w:rPr>
        <w:t>25</w:t>
      </w:r>
      <w:r w:rsidR="002828F5">
        <w:rPr>
          <w:rFonts w:asciiTheme="minorHAnsi" w:hAnsiTheme="minorHAnsi"/>
          <w:color w:val="auto"/>
          <w:sz w:val="32"/>
          <w:szCs w:val="32"/>
        </w:rPr>
        <w:t xml:space="preserve"> </w:t>
      </w:r>
      <w:r w:rsidR="002113FA">
        <w:rPr>
          <w:rFonts w:asciiTheme="minorHAnsi" w:hAnsiTheme="minorHAnsi"/>
          <w:color w:val="auto"/>
          <w:sz w:val="32"/>
          <w:szCs w:val="32"/>
        </w:rPr>
        <w:t>Hōngongoi / July 2013</w:t>
      </w:r>
    </w:p>
    <w:p w:rsidR="00F04D06" w:rsidRPr="00F04D06" w:rsidRDefault="00F04D06" w:rsidP="00F04D06">
      <w:pPr>
        <w:pStyle w:val="Style1"/>
        <w:spacing w:after="0" w:line="240" w:lineRule="auto"/>
        <w:rPr>
          <w:rFonts w:asciiTheme="minorHAnsi" w:hAnsiTheme="minorHAnsi"/>
          <w:color w:val="auto"/>
          <w:sz w:val="16"/>
          <w:szCs w:val="16"/>
        </w:rPr>
      </w:pPr>
    </w:p>
    <w:p w:rsidR="006D4367" w:rsidRPr="002A7E80" w:rsidRDefault="00F82028" w:rsidP="005560BA">
      <w:pPr>
        <w:jc w:val="both"/>
        <w:rPr>
          <w:rFonts w:ascii="Calibri" w:hAnsi="Calibri" w:cs="Arial"/>
          <w:b/>
          <w:sz w:val="16"/>
          <w:szCs w:val="16"/>
        </w:rPr>
      </w:pPr>
      <w:r>
        <w:rPr>
          <w:rFonts w:ascii="Calibri" w:hAnsi="Calibri"/>
          <w:sz w:val="16"/>
          <w:szCs w:val="16"/>
        </w:rPr>
        <w:pict>
          <v:rect id="_x0000_i1025" style="width:415.65pt;height:1.5pt" o:hralign="center" o:hrstd="t" o:hr="t" fillcolor="#aca899" stroked="f"/>
        </w:pict>
      </w:r>
    </w:p>
    <w:p w:rsidR="006D4367" w:rsidRPr="00F04D06" w:rsidRDefault="006D4367" w:rsidP="005560BA">
      <w:pPr>
        <w:pStyle w:val="ListParagraph"/>
        <w:ind w:left="360"/>
        <w:contextualSpacing w:val="0"/>
        <w:jc w:val="both"/>
        <w:rPr>
          <w:rFonts w:ascii="Calibri" w:hAnsi="Calibri"/>
          <w:sz w:val="16"/>
          <w:szCs w:val="16"/>
        </w:rPr>
      </w:pPr>
    </w:p>
    <w:p w:rsidR="00C31B8F" w:rsidRDefault="00661A21" w:rsidP="005560BA">
      <w:pPr>
        <w:jc w:val="both"/>
        <w:rPr>
          <w:rFonts w:ascii="Calibri" w:hAnsi="Calibri"/>
          <w:sz w:val="22"/>
          <w:szCs w:val="22"/>
        </w:rPr>
      </w:pPr>
      <w:r>
        <w:rPr>
          <w:rFonts w:ascii="Calibri" w:hAnsi="Calibri"/>
          <w:sz w:val="22"/>
          <w:szCs w:val="22"/>
        </w:rPr>
        <w:t xml:space="preserve">The Minister for </w:t>
      </w:r>
      <w:r w:rsidR="00C31B8F" w:rsidRPr="00C31B8F">
        <w:rPr>
          <w:rFonts w:ascii="Calibri" w:hAnsi="Calibri"/>
          <w:sz w:val="22"/>
          <w:szCs w:val="22"/>
        </w:rPr>
        <w:t xml:space="preserve">Whānau Ora, </w:t>
      </w:r>
      <w:r>
        <w:rPr>
          <w:rFonts w:ascii="Calibri" w:hAnsi="Calibri"/>
          <w:sz w:val="22"/>
          <w:szCs w:val="22"/>
        </w:rPr>
        <w:t xml:space="preserve">Hon </w:t>
      </w:r>
      <w:proofErr w:type="spellStart"/>
      <w:r>
        <w:rPr>
          <w:rFonts w:ascii="Calibri" w:hAnsi="Calibri"/>
          <w:sz w:val="22"/>
          <w:szCs w:val="22"/>
        </w:rPr>
        <w:t>Tariana</w:t>
      </w:r>
      <w:proofErr w:type="spellEnd"/>
      <w:r>
        <w:rPr>
          <w:rFonts w:ascii="Calibri" w:hAnsi="Calibri"/>
          <w:sz w:val="22"/>
          <w:szCs w:val="22"/>
        </w:rPr>
        <w:t xml:space="preserve"> </w:t>
      </w:r>
      <w:proofErr w:type="spellStart"/>
      <w:r>
        <w:rPr>
          <w:rFonts w:ascii="Calibri" w:hAnsi="Calibri"/>
          <w:sz w:val="22"/>
          <w:szCs w:val="22"/>
        </w:rPr>
        <w:t>Turia</w:t>
      </w:r>
      <w:proofErr w:type="spellEnd"/>
      <w:r>
        <w:rPr>
          <w:rFonts w:ascii="Calibri" w:hAnsi="Calibri"/>
          <w:sz w:val="22"/>
          <w:szCs w:val="22"/>
        </w:rPr>
        <w:t xml:space="preserve">, </w:t>
      </w:r>
      <w:r w:rsidR="00C31B8F" w:rsidRPr="00C31B8F">
        <w:rPr>
          <w:rFonts w:ascii="Calibri" w:hAnsi="Calibri"/>
          <w:sz w:val="22"/>
          <w:szCs w:val="22"/>
        </w:rPr>
        <w:t>announced the model for the future delivery of Whānau Ora</w:t>
      </w:r>
      <w:r>
        <w:rPr>
          <w:rFonts w:ascii="Calibri" w:hAnsi="Calibri"/>
          <w:sz w:val="22"/>
          <w:szCs w:val="22"/>
        </w:rPr>
        <w:t xml:space="preserve"> on 16 July 2013</w:t>
      </w:r>
      <w:r w:rsidR="00C31B8F" w:rsidRPr="00C31B8F">
        <w:rPr>
          <w:rFonts w:ascii="Calibri" w:hAnsi="Calibri"/>
          <w:sz w:val="22"/>
          <w:szCs w:val="22"/>
        </w:rPr>
        <w:t xml:space="preserve">. A key component of this model is the establishment of three </w:t>
      </w:r>
      <w:r>
        <w:rPr>
          <w:rFonts w:ascii="Calibri" w:hAnsi="Calibri"/>
          <w:sz w:val="22"/>
          <w:szCs w:val="22"/>
        </w:rPr>
        <w:t>n</w:t>
      </w:r>
      <w:r w:rsidR="00C31B8F" w:rsidRPr="00C31B8F">
        <w:rPr>
          <w:rFonts w:ascii="Calibri" w:hAnsi="Calibri"/>
          <w:sz w:val="22"/>
          <w:szCs w:val="22"/>
        </w:rPr>
        <w:t>on-</w:t>
      </w:r>
      <w:r>
        <w:rPr>
          <w:rFonts w:ascii="Calibri" w:hAnsi="Calibri"/>
          <w:sz w:val="22"/>
          <w:szCs w:val="22"/>
        </w:rPr>
        <w:t>g</w:t>
      </w:r>
      <w:r w:rsidR="00C31B8F" w:rsidRPr="00C31B8F">
        <w:rPr>
          <w:rFonts w:ascii="Calibri" w:hAnsi="Calibri"/>
          <w:sz w:val="22"/>
          <w:szCs w:val="22"/>
        </w:rPr>
        <w:t xml:space="preserve">overnment </w:t>
      </w:r>
      <w:r>
        <w:rPr>
          <w:rFonts w:ascii="Calibri" w:hAnsi="Calibri"/>
          <w:sz w:val="22"/>
          <w:szCs w:val="22"/>
        </w:rPr>
        <w:t>o</w:t>
      </w:r>
      <w:r w:rsidR="00C31B8F" w:rsidRPr="00C31B8F">
        <w:rPr>
          <w:rFonts w:ascii="Calibri" w:hAnsi="Calibri"/>
          <w:sz w:val="22"/>
          <w:szCs w:val="22"/>
        </w:rPr>
        <w:t>rganisatio</w:t>
      </w:r>
      <w:r>
        <w:rPr>
          <w:rFonts w:ascii="Calibri" w:hAnsi="Calibri"/>
          <w:sz w:val="22"/>
          <w:szCs w:val="22"/>
        </w:rPr>
        <w:t xml:space="preserve">n (NGO) commissioning agencies with a </w:t>
      </w:r>
      <w:r w:rsidR="00C31B8F" w:rsidRPr="00C31B8F">
        <w:rPr>
          <w:rFonts w:ascii="Calibri" w:hAnsi="Calibri"/>
          <w:sz w:val="22"/>
          <w:szCs w:val="22"/>
        </w:rPr>
        <w:t>North Isla</w:t>
      </w:r>
      <w:r>
        <w:rPr>
          <w:rFonts w:ascii="Calibri" w:hAnsi="Calibri"/>
          <w:sz w:val="22"/>
          <w:szCs w:val="22"/>
        </w:rPr>
        <w:t>nd, South Island and Pacific focus.</w:t>
      </w:r>
    </w:p>
    <w:p w:rsidR="00C31B8F" w:rsidRPr="00C31B8F" w:rsidRDefault="00C31B8F" w:rsidP="005560BA">
      <w:pPr>
        <w:jc w:val="both"/>
        <w:rPr>
          <w:rFonts w:ascii="Calibri" w:hAnsi="Calibri"/>
          <w:sz w:val="22"/>
          <w:szCs w:val="22"/>
        </w:rPr>
      </w:pPr>
    </w:p>
    <w:p w:rsidR="00C31B8F" w:rsidRPr="00C31B8F" w:rsidRDefault="00C31B8F" w:rsidP="005560BA">
      <w:pPr>
        <w:jc w:val="both"/>
        <w:rPr>
          <w:rFonts w:ascii="Calibri" w:hAnsi="Calibri"/>
          <w:sz w:val="22"/>
          <w:szCs w:val="22"/>
        </w:rPr>
      </w:pPr>
      <w:r w:rsidRPr="00C31B8F">
        <w:rPr>
          <w:rFonts w:ascii="Calibri" w:hAnsi="Calibri"/>
          <w:sz w:val="22"/>
          <w:szCs w:val="22"/>
        </w:rPr>
        <w:t>Te Puni Kōkiri is leading the development and implementation of the Whānau Ora commissioning model. This includes leading the change project, managing the procurement process for NGO commissioning agencies and continuing to fulfil and develop its role as the administe</w:t>
      </w:r>
      <w:r w:rsidR="00661A21">
        <w:rPr>
          <w:rFonts w:ascii="Calibri" w:hAnsi="Calibri"/>
          <w:sz w:val="22"/>
          <w:szCs w:val="22"/>
        </w:rPr>
        <w:t xml:space="preserve">ring department for Whānau Ora; </w:t>
      </w:r>
      <w:r w:rsidRPr="00C31B8F">
        <w:rPr>
          <w:rFonts w:ascii="Calibri" w:hAnsi="Calibri"/>
          <w:sz w:val="22"/>
          <w:szCs w:val="22"/>
        </w:rPr>
        <w:t>for example, manag</w:t>
      </w:r>
      <w:r w:rsidR="00661A21">
        <w:rPr>
          <w:rFonts w:ascii="Calibri" w:hAnsi="Calibri"/>
          <w:sz w:val="22"/>
          <w:szCs w:val="22"/>
        </w:rPr>
        <w:t>ing existing provider contracts</w:t>
      </w:r>
      <w:r w:rsidRPr="00C31B8F">
        <w:rPr>
          <w:rFonts w:ascii="Calibri" w:hAnsi="Calibri"/>
          <w:sz w:val="22"/>
          <w:szCs w:val="22"/>
        </w:rPr>
        <w:t>.</w:t>
      </w:r>
    </w:p>
    <w:p w:rsidR="00C31B8F" w:rsidRDefault="00C31B8F" w:rsidP="005560BA">
      <w:pPr>
        <w:jc w:val="both"/>
        <w:rPr>
          <w:rFonts w:ascii="Calibri" w:hAnsi="Calibri"/>
          <w:sz w:val="22"/>
          <w:szCs w:val="22"/>
        </w:rPr>
      </w:pPr>
    </w:p>
    <w:p w:rsidR="00C31B8F" w:rsidRPr="00C31B8F" w:rsidRDefault="002113FA" w:rsidP="005560BA">
      <w:pPr>
        <w:jc w:val="both"/>
        <w:rPr>
          <w:rFonts w:ascii="Calibri" w:hAnsi="Calibri"/>
          <w:sz w:val="22"/>
          <w:szCs w:val="22"/>
        </w:rPr>
      </w:pPr>
      <w:r>
        <w:rPr>
          <w:rFonts w:ascii="Calibri" w:hAnsi="Calibri"/>
          <w:sz w:val="22"/>
          <w:szCs w:val="22"/>
        </w:rPr>
        <w:t xml:space="preserve">Under the </w:t>
      </w:r>
      <w:r w:rsidR="00C31B8F" w:rsidRPr="00C31B8F">
        <w:rPr>
          <w:rFonts w:ascii="Calibri" w:hAnsi="Calibri"/>
          <w:sz w:val="22"/>
          <w:szCs w:val="22"/>
        </w:rPr>
        <w:t xml:space="preserve">new model, suitable NGOs will be contracted to commission local-level whānau-centred initiatives through a range of entities </w:t>
      </w:r>
      <w:r w:rsidR="00661A21">
        <w:rPr>
          <w:rFonts w:ascii="Calibri" w:hAnsi="Calibri"/>
          <w:sz w:val="22"/>
          <w:szCs w:val="22"/>
        </w:rPr>
        <w:t>with</w:t>
      </w:r>
      <w:r w:rsidR="00C31B8F" w:rsidRPr="00C31B8F">
        <w:rPr>
          <w:rFonts w:ascii="Calibri" w:hAnsi="Calibri"/>
          <w:sz w:val="22"/>
          <w:szCs w:val="22"/>
        </w:rPr>
        <w:t xml:space="preserve"> </w:t>
      </w:r>
      <w:r>
        <w:rPr>
          <w:rFonts w:ascii="Calibri" w:hAnsi="Calibri"/>
          <w:sz w:val="22"/>
          <w:szCs w:val="22"/>
        </w:rPr>
        <w:t xml:space="preserve">services or opportunities </w:t>
      </w:r>
      <w:r w:rsidR="00C31B8F" w:rsidRPr="00C31B8F">
        <w:rPr>
          <w:rFonts w:ascii="Calibri" w:hAnsi="Calibri"/>
          <w:sz w:val="22"/>
          <w:szCs w:val="22"/>
        </w:rPr>
        <w:t>made available to all New Zealand families.</w:t>
      </w:r>
    </w:p>
    <w:p w:rsidR="00C31B8F" w:rsidRPr="00C31B8F" w:rsidRDefault="00C31B8F" w:rsidP="005560BA">
      <w:pPr>
        <w:jc w:val="both"/>
        <w:rPr>
          <w:rFonts w:ascii="Calibri" w:hAnsi="Calibri"/>
          <w:sz w:val="22"/>
          <w:szCs w:val="22"/>
        </w:rPr>
      </w:pPr>
    </w:p>
    <w:p w:rsidR="00C31B8F" w:rsidRPr="0015412E" w:rsidRDefault="0034733E" w:rsidP="005560BA">
      <w:pPr>
        <w:jc w:val="both"/>
        <w:rPr>
          <w:rFonts w:ascii="Calibri" w:hAnsi="Calibri"/>
          <w:b/>
          <w:sz w:val="28"/>
          <w:szCs w:val="28"/>
        </w:rPr>
      </w:pPr>
      <w:r>
        <w:rPr>
          <w:rFonts w:ascii="Calibri" w:hAnsi="Calibri"/>
          <w:b/>
          <w:sz w:val="28"/>
          <w:szCs w:val="28"/>
        </w:rPr>
        <w:t>Market s</w:t>
      </w:r>
      <w:r w:rsidR="00C31B8F" w:rsidRPr="0015412E">
        <w:rPr>
          <w:rFonts w:ascii="Calibri" w:hAnsi="Calibri"/>
          <w:b/>
          <w:sz w:val="28"/>
          <w:szCs w:val="28"/>
        </w:rPr>
        <w:t>ounding</w:t>
      </w:r>
    </w:p>
    <w:p w:rsidR="00C31B8F" w:rsidRDefault="00C31B8F" w:rsidP="005560BA">
      <w:pPr>
        <w:jc w:val="both"/>
        <w:rPr>
          <w:rFonts w:ascii="Calibri" w:hAnsi="Calibri"/>
          <w:sz w:val="22"/>
          <w:szCs w:val="22"/>
        </w:rPr>
      </w:pPr>
      <w:r>
        <w:rPr>
          <w:rFonts w:ascii="Calibri" w:hAnsi="Calibri"/>
          <w:sz w:val="22"/>
          <w:szCs w:val="22"/>
        </w:rPr>
        <w:br/>
      </w:r>
      <w:r w:rsidRPr="00C31B8F">
        <w:rPr>
          <w:rFonts w:ascii="Calibri" w:hAnsi="Calibri"/>
          <w:sz w:val="22"/>
          <w:szCs w:val="22"/>
        </w:rPr>
        <w:t>The purpose</w:t>
      </w:r>
      <w:r w:rsidR="00661A21">
        <w:rPr>
          <w:rFonts w:ascii="Calibri" w:hAnsi="Calibri"/>
          <w:sz w:val="22"/>
          <w:szCs w:val="22"/>
        </w:rPr>
        <w:t xml:space="preserve"> of this market sounding brief – </w:t>
      </w:r>
      <w:r w:rsidRPr="00C31B8F">
        <w:rPr>
          <w:rFonts w:ascii="Calibri" w:hAnsi="Calibri"/>
          <w:sz w:val="22"/>
          <w:szCs w:val="22"/>
        </w:rPr>
        <w:t xml:space="preserve">including the attached </w:t>
      </w:r>
      <w:r w:rsidR="00661A21">
        <w:rPr>
          <w:rFonts w:ascii="Calibri" w:hAnsi="Calibri"/>
          <w:sz w:val="22"/>
          <w:szCs w:val="22"/>
        </w:rPr>
        <w:t>‘</w:t>
      </w:r>
      <w:r w:rsidRPr="00C31B8F">
        <w:rPr>
          <w:rFonts w:ascii="Calibri" w:hAnsi="Calibri"/>
          <w:sz w:val="22"/>
          <w:szCs w:val="22"/>
        </w:rPr>
        <w:t>Market Sounding Q</w:t>
      </w:r>
      <w:r w:rsidR="00661A21">
        <w:rPr>
          <w:rFonts w:ascii="Calibri" w:hAnsi="Calibri"/>
          <w:sz w:val="22"/>
          <w:szCs w:val="22"/>
        </w:rPr>
        <w:t>uestionnaire’</w:t>
      </w:r>
      <w:r w:rsidR="00C43856">
        <w:rPr>
          <w:rFonts w:ascii="Calibri" w:hAnsi="Calibri"/>
          <w:sz w:val="22"/>
          <w:szCs w:val="22"/>
        </w:rPr>
        <w:t xml:space="preserve"> and ‘</w:t>
      </w:r>
      <w:r w:rsidR="00C43856" w:rsidRPr="00C31B8F">
        <w:rPr>
          <w:rFonts w:ascii="Calibri" w:hAnsi="Calibri"/>
          <w:sz w:val="22"/>
          <w:szCs w:val="22"/>
        </w:rPr>
        <w:t>Future Focus for Whānau Ora</w:t>
      </w:r>
      <w:r w:rsidR="00C43856">
        <w:rPr>
          <w:rFonts w:ascii="Calibri" w:hAnsi="Calibri"/>
          <w:sz w:val="22"/>
          <w:szCs w:val="22"/>
        </w:rPr>
        <w:t>’</w:t>
      </w:r>
      <w:r w:rsidR="00661A21">
        <w:rPr>
          <w:rFonts w:ascii="Calibri" w:hAnsi="Calibri"/>
          <w:sz w:val="22"/>
          <w:szCs w:val="22"/>
        </w:rPr>
        <w:t xml:space="preserve"> –</w:t>
      </w:r>
      <w:r w:rsidRPr="00C31B8F">
        <w:rPr>
          <w:rFonts w:ascii="Calibri" w:hAnsi="Calibri"/>
          <w:sz w:val="22"/>
          <w:szCs w:val="22"/>
        </w:rPr>
        <w:t xml:space="preserve"> is to gather input and feedback from the market before formally engaging in a procurement process. This document has been developed to assess the reaction of potential participants in the procurement pro</w:t>
      </w:r>
      <w:r w:rsidR="00661A21">
        <w:rPr>
          <w:rFonts w:ascii="Calibri" w:hAnsi="Calibri"/>
          <w:sz w:val="22"/>
          <w:szCs w:val="22"/>
        </w:rPr>
        <w:t>cess for commissioning agencies</w:t>
      </w:r>
      <w:r w:rsidRPr="00C31B8F">
        <w:rPr>
          <w:rFonts w:ascii="Calibri" w:hAnsi="Calibri"/>
          <w:sz w:val="22"/>
          <w:szCs w:val="22"/>
        </w:rPr>
        <w:t xml:space="preserve"> and to inform the development of a procurement or tender process that actively responds to the information received.</w:t>
      </w:r>
    </w:p>
    <w:p w:rsidR="004E2775" w:rsidRDefault="004E2775" w:rsidP="005560BA">
      <w:pPr>
        <w:jc w:val="both"/>
        <w:rPr>
          <w:rFonts w:ascii="Calibri" w:hAnsi="Calibri"/>
          <w:sz w:val="22"/>
          <w:szCs w:val="22"/>
        </w:rPr>
      </w:pPr>
    </w:p>
    <w:p w:rsidR="004E2775" w:rsidRPr="004E2775" w:rsidRDefault="004E2775" w:rsidP="005560BA">
      <w:pPr>
        <w:jc w:val="both"/>
        <w:rPr>
          <w:rFonts w:ascii="Calibri" w:hAnsi="Calibri"/>
          <w:b/>
          <w:sz w:val="22"/>
          <w:szCs w:val="22"/>
        </w:rPr>
      </w:pPr>
      <w:r w:rsidRPr="004E2775">
        <w:rPr>
          <w:rFonts w:ascii="Calibri" w:hAnsi="Calibri"/>
          <w:b/>
          <w:sz w:val="22"/>
          <w:szCs w:val="22"/>
        </w:rPr>
        <w:t xml:space="preserve">Participation in the market sounding is voluntary and is not part of any procurement or tender process. Organisations do not have to participate in the marketing sounding in order to participate in any procurement or tender process.  </w:t>
      </w:r>
    </w:p>
    <w:p w:rsidR="00C31B8F" w:rsidRPr="00C31B8F" w:rsidRDefault="00C31B8F" w:rsidP="005560BA">
      <w:pPr>
        <w:jc w:val="both"/>
        <w:rPr>
          <w:rFonts w:ascii="Calibri" w:hAnsi="Calibri"/>
          <w:sz w:val="22"/>
          <w:szCs w:val="22"/>
        </w:rPr>
      </w:pPr>
    </w:p>
    <w:p w:rsidR="00C31B8F" w:rsidRPr="00C31B8F" w:rsidRDefault="00C31B8F" w:rsidP="005560BA">
      <w:pPr>
        <w:jc w:val="both"/>
        <w:rPr>
          <w:rFonts w:ascii="Calibri" w:hAnsi="Calibri"/>
          <w:sz w:val="22"/>
          <w:szCs w:val="22"/>
        </w:rPr>
      </w:pPr>
      <w:r w:rsidRPr="00C31B8F">
        <w:rPr>
          <w:rFonts w:ascii="Calibri" w:hAnsi="Calibri"/>
          <w:sz w:val="22"/>
          <w:szCs w:val="22"/>
        </w:rPr>
        <w:t xml:space="preserve">Te Puni Kōkiri would like to receive responses from those organisations, collectives or consortia who are interested in participating in a procurement </w:t>
      </w:r>
      <w:r w:rsidR="002113FA">
        <w:rPr>
          <w:rFonts w:ascii="Calibri" w:hAnsi="Calibri"/>
          <w:sz w:val="22"/>
          <w:szCs w:val="22"/>
        </w:rPr>
        <w:t xml:space="preserve">process to select </w:t>
      </w:r>
      <w:r w:rsidRPr="00C31B8F">
        <w:rPr>
          <w:rFonts w:ascii="Calibri" w:hAnsi="Calibri"/>
          <w:sz w:val="22"/>
          <w:szCs w:val="22"/>
        </w:rPr>
        <w:t xml:space="preserve">three </w:t>
      </w:r>
      <w:r w:rsidR="002113FA">
        <w:rPr>
          <w:rFonts w:ascii="Calibri" w:hAnsi="Calibri"/>
          <w:sz w:val="22"/>
          <w:szCs w:val="22"/>
        </w:rPr>
        <w:t xml:space="preserve">NGO </w:t>
      </w:r>
      <w:r w:rsidRPr="00C31B8F">
        <w:rPr>
          <w:rFonts w:ascii="Calibri" w:hAnsi="Calibri"/>
          <w:sz w:val="22"/>
          <w:szCs w:val="22"/>
        </w:rPr>
        <w:t>commissioning agencies</w:t>
      </w:r>
      <w:r w:rsidR="002113FA">
        <w:rPr>
          <w:rFonts w:ascii="Calibri" w:hAnsi="Calibri"/>
          <w:sz w:val="22"/>
          <w:szCs w:val="22"/>
        </w:rPr>
        <w:t xml:space="preserve"> with</w:t>
      </w:r>
      <w:r w:rsidRPr="00C31B8F">
        <w:rPr>
          <w:rFonts w:ascii="Calibri" w:hAnsi="Calibri"/>
          <w:sz w:val="22"/>
          <w:szCs w:val="22"/>
        </w:rPr>
        <w:t>:</w:t>
      </w:r>
    </w:p>
    <w:p w:rsidR="00C31B8F" w:rsidRDefault="00C31B8F" w:rsidP="005560BA">
      <w:pPr>
        <w:jc w:val="both"/>
        <w:rPr>
          <w:rFonts w:ascii="Calibri" w:hAnsi="Calibri"/>
          <w:sz w:val="22"/>
          <w:szCs w:val="22"/>
        </w:rPr>
      </w:pPr>
    </w:p>
    <w:p w:rsidR="002113FA" w:rsidRDefault="002113FA" w:rsidP="005560BA">
      <w:pPr>
        <w:pStyle w:val="ListParagraph"/>
        <w:numPr>
          <w:ilvl w:val="0"/>
          <w:numId w:val="18"/>
        </w:numPr>
        <w:contextualSpacing w:val="0"/>
        <w:jc w:val="both"/>
        <w:rPr>
          <w:rFonts w:ascii="Calibri" w:hAnsi="Calibri"/>
          <w:sz w:val="22"/>
          <w:szCs w:val="22"/>
        </w:rPr>
      </w:pPr>
      <w:r>
        <w:rPr>
          <w:rFonts w:ascii="Calibri" w:hAnsi="Calibri"/>
          <w:sz w:val="22"/>
          <w:szCs w:val="22"/>
        </w:rPr>
        <w:t xml:space="preserve">expertise and networks to build capability for whānau and families with a </w:t>
      </w:r>
      <w:r w:rsidRPr="004D1095">
        <w:rPr>
          <w:rFonts w:ascii="Calibri" w:hAnsi="Calibri"/>
          <w:sz w:val="22"/>
          <w:szCs w:val="22"/>
        </w:rPr>
        <w:t>North island focus</w:t>
      </w:r>
    </w:p>
    <w:p w:rsidR="002113FA" w:rsidRDefault="002113FA" w:rsidP="005560BA">
      <w:pPr>
        <w:pStyle w:val="ListParagraph"/>
        <w:numPr>
          <w:ilvl w:val="0"/>
          <w:numId w:val="18"/>
        </w:numPr>
        <w:contextualSpacing w:val="0"/>
        <w:jc w:val="both"/>
        <w:rPr>
          <w:rFonts w:ascii="Calibri" w:hAnsi="Calibri"/>
          <w:sz w:val="22"/>
          <w:szCs w:val="22"/>
        </w:rPr>
      </w:pPr>
      <w:r>
        <w:rPr>
          <w:rFonts w:ascii="Calibri" w:hAnsi="Calibri"/>
          <w:sz w:val="22"/>
          <w:szCs w:val="22"/>
        </w:rPr>
        <w:t xml:space="preserve">expertise and networks to build capability for whānau and families with </w:t>
      </w:r>
      <w:r w:rsidRPr="00757E79">
        <w:rPr>
          <w:rFonts w:ascii="Calibri" w:hAnsi="Calibri"/>
          <w:sz w:val="22"/>
          <w:szCs w:val="22"/>
        </w:rPr>
        <w:t>a South Island focus</w:t>
      </w:r>
    </w:p>
    <w:p w:rsidR="00C31B8F" w:rsidRPr="002113FA" w:rsidRDefault="002113FA" w:rsidP="005560BA">
      <w:pPr>
        <w:pStyle w:val="ListParagraph"/>
        <w:numPr>
          <w:ilvl w:val="0"/>
          <w:numId w:val="18"/>
        </w:numPr>
        <w:contextualSpacing w:val="0"/>
        <w:jc w:val="both"/>
        <w:rPr>
          <w:rFonts w:ascii="Calibri" w:hAnsi="Calibri"/>
          <w:sz w:val="22"/>
          <w:szCs w:val="22"/>
        </w:rPr>
      </w:pPr>
      <w:proofErr w:type="gramStart"/>
      <w:r w:rsidRPr="00757E79">
        <w:rPr>
          <w:rFonts w:ascii="Calibri" w:hAnsi="Calibri"/>
          <w:sz w:val="22"/>
          <w:szCs w:val="22"/>
        </w:rPr>
        <w:t>expertise</w:t>
      </w:r>
      <w:proofErr w:type="gramEnd"/>
      <w:r w:rsidRPr="00757E79">
        <w:rPr>
          <w:rFonts w:ascii="Calibri" w:hAnsi="Calibri"/>
          <w:sz w:val="22"/>
          <w:szCs w:val="22"/>
        </w:rPr>
        <w:t xml:space="preserve"> and networks to build capability for Pacific families.</w:t>
      </w:r>
    </w:p>
    <w:p w:rsidR="00C31B8F" w:rsidRDefault="00C31B8F" w:rsidP="005560BA">
      <w:pPr>
        <w:jc w:val="both"/>
        <w:rPr>
          <w:rFonts w:ascii="Calibri" w:hAnsi="Calibri"/>
          <w:sz w:val="22"/>
          <w:szCs w:val="22"/>
        </w:rPr>
      </w:pPr>
    </w:p>
    <w:p w:rsidR="00C31B8F" w:rsidRPr="00C31B8F" w:rsidRDefault="00C31B8F" w:rsidP="005560BA">
      <w:pPr>
        <w:jc w:val="both"/>
        <w:rPr>
          <w:rFonts w:ascii="Calibri" w:hAnsi="Calibri"/>
          <w:sz w:val="22"/>
          <w:szCs w:val="22"/>
        </w:rPr>
      </w:pPr>
      <w:r w:rsidRPr="00C31B8F">
        <w:rPr>
          <w:rFonts w:ascii="Calibri" w:hAnsi="Calibri"/>
          <w:sz w:val="22"/>
          <w:szCs w:val="22"/>
        </w:rPr>
        <w:t>It is expected that respondents to the market sounding would represent organisation</w:t>
      </w:r>
      <w:r w:rsidR="00661A21">
        <w:rPr>
          <w:rFonts w:ascii="Calibri" w:hAnsi="Calibri"/>
          <w:sz w:val="22"/>
          <w:szCs w:val="22"/>
        </w:rPr>
        <w:t>s</w:t>
      </w:r>
      <w:r w:rsidRPr="00C31B8F">
        <w:rPr>
          <w:rFonts w:ascii="Calibri" w:hAnsi="Calibri"/>
          <w:sz w:val="22"/>
          <w:szCs w:val="22"/>
        </w:rPr>
        <w:t xml:space="preserve"> with knowledge, experience and/or expertise relevant to the commissioning model. They would also be organisations that are willin</w:t>
      </w:r>
      <w:r w:rsidR="00661A21">
        <w:rPr>
          <w:rFonts w:ascii="Calibri" w:hAnsi="Calibri"/>
          <w:sz w:val="22"/>
          <w:szCs w:val="22"/>
        </w:rPr>
        <w:t>g to participate in an outcomes-</w:t>
      </w:r>
      <w:r w:rsidRPr="00C31B8F">
        <w:rPr>
          <w:rFonts w:ascii="Calibri" w:hAnsi="Calibri"/>
          <w:sz w:val="22"/>
          <w:szCs w:val="22"/>
        </w:rPr>
        <w:t>focused, result</w:t>
      </w:r>
      <w:r w:rsidR="00661A21">
        <w:rPr>
          <w:rFonts w:ascii="Calibri" w:hAnsi="Calibri"/>
          <w:sz w:val="22"/>
          <w:szCs w:val="22"/>
        </w:rPr>
        <w:t>s</w:t>
      </w:r>
      <w:r w:rsidRPr="00C31B8F">
        <w:rPr>
          <w:rFonts w:ascii="Calibri" w:hAnsi="Calibri"/>
          <w:sz w:val="22"/>
          <w:szCs w:val="22"/>
        </w:rPr>
        <w:t>-based contractual arrangement.</w:t>
      </w:r>
    </w:p>
    <w:p w:rsidR="00C31B8F" w:rsidRPr="009A4AE4" w:rsidRDefault="00C31B8F" w:rsidP="005560BA">
      <w:pPr>
        <w:jc w:val="both"/>
        <w:rPr>
          <w:rFonts w:ascii="Calibri" w:hAnsi="Calibri"/>
          <w:sz w:val="22"/>
          <w:szCs w:val="22"/>
        </w:rPr>
      </w:pPr>
    </w:p>
    <w:p w:rsidR="00C31B8F" w:rsidRPr="0015412E" w:rsidRDefault="00C31B8F" w:rsidP="005560BA">
      <w:pPr>
        <w:jc w:val="both"/>
        <w:rPr>
          <w:rFonts w:ascii="Calibri" w:hAnsi="Calibri"/>
          <w:b/>
          <w:sz w:val="28"/>
          <w:szCs w:val="28"/>
        </w:rPr>
      </w:pPr>
      <w:r w:rsidRPr="0015412E">
        <w:rPr>
          <w:rFonts w:ascii="Calibri" w:hAnsi="Calibri"/>
          <w:b/>
          <w:sz w:val="28"/>
          <w:szCs w:val="28"/>
        </w:rPr>
        <w:t>Schedules</w:t>
      </w:r>
    </w:p>
    <w:p w:rsidR="00C31B8F" w:rsidRDefault="00C31B8F" w:rsidP="005560BA">
      <w:pPr>
        <w:jc w:val="both"/>
        <w:rPr>
          <w:rFonts w:ascii="Calibri" w:hAnsi="Calibri"/>
          <w:sz w:val="22"/>
          <w:szCs w:val="22"/>
        </w:rPr>
      </w:pPr>
    </w:p>
    <w:p w:rsidR="00C31B8F" w:rsidRPr="00C31B8F" w:rsidRDefault="00C31B8F" w:rsidP="005560BA">
      <w:pPr>
        <w:jc w:val="both"/>
        <w:rPr>
          <w:rFonts w:ascii="Calibri" w:hAnsi="Calibri"/>
          <w:sz w:val="22"/>
          <w:szCs w:val="22"/>
        </w:rPr>
      </w:pPr>
      <w:r w:rsidRPr="00C31B8F">
        <w:rPr>
          <w:rFonts w:ascii="Calibri" w:hAnsi="Calibri"/>
          <w:sz w:val="22"/>
          <w:szCs w:val="22"/>
        </w:rPr>
        <w:t>There are three schedules attached to this brief:</w:t>
      </w:r>
    </w:p>
    <w:p w:rsidR="00C31B8F" w:rsidRDefault="00C31B8F" w:rsidP="005560BA">
      <w:pPr>
        <w:jc w:val="both"/>
        <w:rPr>
          <w:rFonts w:ascii="Calibri" w:hAnsi="Calibri"/>
          <w:sz w:val="22"/>
          <w:szCs w:val="22"/>
        </w:rPr>
      </w:pPr>
    </w:p>
    <w:p w:rsidR="00C31B8F" w:rsidRPr="007964DF" w:rsidRDefault="00661A21" w:rsidP="005560BA">
      <w:pPr>
        <w:pStyle w:val="ListParagraph"/>
        <w:numPr>
          <w:ilvl w:val="0"/>
          <w:numId w:val="19"/>
        </w:numPr>
        <w:ind w:left="360"/>
        <w:jc w:val="both"/>
        <w:rPr>
          <w:rFonts w:ascii="Calibri" w:hAnsi="Calibri"/>
          <w:sz w:val="22"/>
          <w:szCs w:val="22"/>
        </w:rPr>
      </w:pPr>
      <w:r w:rsidRPr="00661A21">
        <w:rPr>
          <w:rFonts w:ascii="Calibri" w:hAnsi="Calibri"/>
          <w:b/>
          <w:sz w:val="22"/>
          <w:szCs w:val="22"/>
        </w:rPr>
        <w:t>Schedule 1: Market Sounding Process</w:t>
      </w:r>
      <w:r w:rsidR="00C31B8F" w:rsidRPr="007964DF">
        <w:rPr>
          <w:rFonts w:ascii="Calibri" w:hAnsi="Calibri"/>
          <w:sz w:val="22"/>
          <w:szCs w:val="22"/>
        </w:rPr>
        <w:t xml:space="preserve"> which outlines the market sounding process and sets out key rules in relation to the market sounding.</w:t>
      </w:r>
    </w:p>
    <w:p w:rsidR="00C31B8F" w:rsidRDefault="00C31B8F" w:rsidP="005560BA">
      <w:pPr>
        <w:jc w:val="both"/>
        <w:rPr>
          <w:rFonts w:ascii="Calibri" w:hAnsi="Calibri"/>
          <w:sz w:val="22"/>
          <w:szCs w:val="22"/>
        </w:rPr>
      </w:pPr>
    </w:p>
    <w:p w:rsidR="00C43856" w:rsidRDefault="00C43856" w:rsidP="00C43856">
      <w:pPr>
        <w:pStyle w:val="ListParagraph"/>
        <w:numPr>
          <w:ilvl w:val="0"/>
          <w:numId w:val="19"/>
        </w:numPr>
        <w:ind w:left="360"/>
        <w:jc w:val="both"/>
        <w:rPr>
          <w:rFonts w:ascii="Calibri" w:hAnsi="Calibri"/>
          <w:sz w:val="22"/>
          <w:szCs w:val="22"/>
        </w:rPr>
      </w:pPr>
      <w:r>
        <w:rPr>
          <w:rFonts w:ascii="Calibri" w:hAnsi="Calibri"/>
          <w:b/>
          <w:sz w:val="22"/>
          <w:szCs w:val="22"/>
        </w:rPr>
        <w:t>Schedule 2</w:t>
      </w:r>
      <w:r w:rsidRPr="00FF1AA2">
        <w:rPr>
          <w:rFonts w:ascii="Calibri" w:hAnsi="Calibri"/>
          <w:b/>
          <w:sz w:val="22"/>
          <w:szCs w:val="22"/>
        </w:rPr>
        <w:t>: Market Sounding Questionnaire</w:t>
      </w:r>
      <w:r w:rsidRPr="00FF1AA2">
        <w:rPr>
          <w:rFonts w:ascii="Calibri" w:hAnsi="Calibri"/>
          <w:sz w:val="22"/>
          <w:szCs w:val="22"/>
        </w:rPr>
        <w:t xml:space="preserve"> which sets out the issues that Te Puni Kōkiri is seeking feedback on through the market sounding process and the required structure for written responses.</w:t>
      </w:r>
    </w:p>
    <w:p w:rsidR="00C43856" w:rsidRPr="00C43856" w:rsidRDefault="00C43856" w:rsidP="00C43856">
      <w:pPr>
        <w:pStyle w:val="ListParagraph"/>
        <w:ind w:left="360"/>
        <w:jc w:val="both"/>
        <w:rPr>
          <w:rFonts w:ascii="Calibri" w:hAnsi="Calibri"/>
          <w:sz w:val="22"/>
          <w:szCs w:val="22"/>
        </w:rPr>
      </w:pPr>
    </w:p>
    <w:p w:rsidR="005560BA" w:rsidRPr="00C43856" w:rsidRDefault="00C43856" w:rsidP="005560BA">
      <w:pPr>
        <w:pStyle w:val="ListParagraph"/>
        <w:numPr>
          <w:ilvl w:val="0"/>
          <w:numId w:val="19"/>
        </w:numPr>
        <w:ind w:left="360"/>
        <w:jc w:val="both"/>
        <w:rPr>
          <w:rFonts w:ascii="Calibri" w:hAnsi="Calibri"/>
          <w:sz w:val="22"/>
          <w:szCs w:val="22"/>
        </w:rPr>
      </w:pPr>
      <w:r>
        <w:rPr>
          <w:rFonts w:ascii="Calibri" w:hAnsi="Calibri"/>
          <w:b/>
          <w:sz w:val="22"/>
          <w:szCs w:val="22"/>
        </w:rPr>
        <w:lastRenderedPageBreak/>
        <w:t>Schedule 3</w:t>
      </w:r>
      <w:r w:rsidR="00661A21" w:rsidRPr="00661A21">
        <w:rPr>
          <w:rFonts w:ascii="Calibri" w:hAnsi="Calibri"/>
          <w:b/>
          <w:sz w:val="22"/>
          <w:szCs w:val="22"/>
        </w:rPr>
        <w:t>: Future F</w:t>
      </w:r>
      <w:r w:rsidR="00C31B8F" w:rsidRPr="00661A21">
        <w:rPr>
          <w:rFonts w:ascii="Calibri" w:hAnsi="Calibri"/>
          <w:b/>
          <w:sz w:val="22"/>
          <w:szCs w:val="22"/>
        </w:rPr>
        <w:t>ocus for Whānau Ora</w:t>
      </w:r>
      <w:r w:rsidR="00661A21">
        <w:rPr>
          <w:rFonts w:ascii="Calibri" w:hAnsi="Calibri"/>
          <w:sz w:val="22"/>
          <w:szCs w:val="22"/>
        </w:rPr>
        <w:t xml:space="preserve"> </w:t>
      </w:r>
      <w:r w:rsidR="00C31B8F" w:rsidRPr="007964DF">
        <w:rPr>
          <w:rFonts w:ascii="Calibri" w:hAnsi="Calibri"/>
          <w:sz w:val="22"/>
          <w:szCs w:val="22"/>
        </w:rPr>
        <w:t>which provides an overview of the changes to the future sco</w:t>
      </w:r>
      <w:r w:rsidR="00661A21">
        <w:rPr>
          <w:rFonts w:ascii="Calibri" w:hAnsi="Calibri"/>
          <w:sz w:val="22"/>
          <w:szCs w:val="22"/>
        </w:rPr>
        <w:t xml:space="preserve">pe and direction of Whānau Ora. </w:t>
      </w:r>
      <w:r w:rsidR="00C31B8F" w:rsidRPr="007964DF">
        <w:rPr>
          <w:rFonts w:ascii="Calibri" w:hAnsi="Calibri"/>
          <w:sz w:val="22"/>
          <w:szCs w:val="22"/>
        </w:rPr>
        <w:t xml:space="preserve">This document outlines the broad components of the NGO </w:t>
      </w:r>
      <w:r w:rsidR="004E29BF">
        <w:rPr>
          <w:rFonts w:ascii="Calibri" w:hAnsi="Calibri"/>
          <w:sz w:val="22"/>
          <w:szCs w:val="22"/>
        </w:rPr>
        <w:t>‘</w:t>
      </w:r>
      <w:r w:rsidR="00C31B8F" w:rsidRPr="007964DF">
        <w:rPr>
          <w:rFonts w:ascii="Calibri" w:hAnsi="Calibri"/>
          <w:sz w:val="22"/>
          <w:szCs w:val="22"/>
        </w:rPr>
        <w:t>commissioning for result</w:t>
      </w:r>
      <w:r w:rsidR="004E29BF">
        <w:rPr>
          <w:rFonts w:ascii="Calibri" w:hAnsi="Calibri"/>
          <w:sz w:val="22"/>
          <w:szCs w:val="22"/>
        </w:rPr>
        <w:t>s’</w:t>
      </w:r>
      <w:r w:rsidR="00C31B8F" w:rsidRPr="007964DF">
        <w:rPr>
          <w:rFonts w:ascii="Calibri" w:hAnsi="Calibri"/>
          <w:sz w:val="22"/>
          <w:szCs w:val="22"/>
        </w:rPr>
        <w:t xml:space="preserve"> model.</w:t>
      </w:r>
      <w:r w:rsidR="005560BA" w:rsidRPr="00C43856">
        <w:rPr>
          <w:rFonts w:ascii="Calibri" w:hAnsi="Calibri"/>
          <w:sz w:val="22"/>
          <w:szCs w:val="22"/>
        </w:rPr>
        <w:br w:type="page"/>
      </w:r>
    </w:p>
    <w:p w:rsidR="00D01908" w:rsidRPr="002874CC" w:rsidRDefault="00D01908" w:rsidP="00D01908">
      <w:pPr>
        <w:jc w:val="both"/>
        <w:rPr>
          <w:rFonts w:ascii="Calibri" w:hAnsi="Calibri" w:cs="Arial"/>
          <w:b/>
          <w:sz w:val="36"/>
          <w:szCs w:val="36"/>
        </w:rPr>
      </w:pPr>
      <w:r w:rsidRPr="002874CC">
        <w:rPr>
          <w:rFonts w:ascii="Calibri" w:hAnsi="Calibri" w:cs="Arial"/>
          <w:b/>
          <w:noProof/>
          <w:sz w:val="36"/>
          <w:szCs w:val="36"/>
          <w:lang w:eastAsia="en-NZ"/>
        </w:rPr>
        <w:lastRenderedPageBreak/>
        <w:drawing>
          <wp:anchor distT="0" distB="0" distL="114300" distR="114300" simplePos="0" relativeHeight="251665408" behindDoc="0" locked="0" layoutInCell="1" allowOverlap="1">
            <wp:simplePos x="0" y="0"/>
            <wp:positionH relativeFrom="margin">
              <wp:posOffset>4977130</wp:posOffset>
            </wp:positionH>
            <wp:positionV relativeFrom="margin">
              <wp:posOffset>-347345</wp:posOffset>
            </wp:positionV>
            <wp:extent cx="1123315" cy="977265"/>
            <wp:effectExtent l="19050" t="0" r="635" b="0"/>
            <wp:wrapSquare wrapText="bothSides"/>
            <wp:docPr id="3" name="Picture 3" descr="C:\Documents and Settings\bidov\Desktop\Whanau o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bidov\Desktop\Whanau ora logo.jpg"/>
                    <pic:cNvPicPr>
                      <a:picLocks noChangeAspect="1" noChangeArrowheads="1"/>
                    </pic:cNvPicPr>
                  </pic:nvPicPr>
                  <pic:blipFill>
                    <a:blip r:embed="rId8" cstate="print"/>
                    <a:srcRect/>
                    <a:stretch>
                      <a:fillRect/>
                    </a:stretch>
                  </pic:blipFill>
                  <pic:spPr bwMode="auto">
                    <a:xfrm>
                      <a:off x="0" y="0"/>
                      <a:ext cx="1123315" cy="977265"/>
                    </a:xfrm>
                    <a:prstGeom prst="rect">
                      <a:avLst/>
                    </a:prstGeom>
                    <a:noFill/>
                    <a:ln w="9525">
                      <a:noFill/>
                      <a:miter lim="800000"/>
                      <a:headEnd/>
                      <a:tailEnd/>
                    </a:ln>
                  </pic:spPr>
                </pic:pic>
              </a:graphicData>
            </a:graphic>
          </wp:anchor>
        </w:drawing>
      </w:r>
      <w:r>
        <w:rPr>
          <w:rFonts w:ascii="Calibri" w:hAnsi="Calibri" w:cs="Arial"/>
          <w:b/>
          <w:noProof/>
          <w:sz w:val="36"/>
          <w:szCs w:val="36"/>
          <w:lang w:eastAsia="en-NZ"/>
        </w:rPr>
        <w:t>SCHEDULE 1</w:t>
      </w:r>
    </w:p>
    <w:p w:rsidR="00D01908" w:rsidRDefault="00D01908" w:rsidP="00D01908">
      <w:pPr>
        <w:pStyle w:val="Style1"/>
        <w:spacing w:after="0" w:line="240" w:lineRule="auto"/>
        <w:rPr>
          <w:rFonts w:asciiTheme="minorHAnsi" w:hAnsiTheme="minorHAnsi"/>
          <w:color w:val="auto"/>
          <w:sz w:val="32"/>
          <w:szCs w:val="32"/>
        </w:rPr>
      </w:pPr>
      <w:r>
        <w:rPr>
          <w:rFonts w:asciiTheme="minorHAnsi" w:hAnsiTheme="minorHAnsi"/>
          <w:color w:val="auto"/>
          <w:sz w:val="32"/>
          <w:szCs w:val="32"/>
        </w:rPr>
        <w:t>Market Sounding Process</w:t>
      </w:r>
    </w:p>
    <w:p w:rsidR="00D01908" w:rsidRPr="00F04D06" w:rsidRDefault="00D01908" w:rsidP="00D01908">
      <w:pPr>
        <w:jc w:val="both"/>
        <w:rPr>
          <w:rFonts w:ascii="Calibri" w:hAnsi="Calibri"/>
          <w:sz w:val="16"/>
          <w:szCs w:val="16"/>
        </w:rPr>
      </w:pPr>
    </w:p>
    <w:p w:rsidR="00D01908" w:rsidRPr="00F04D06" w:rsidRDefault="00F82028" w:rsidP="00D01908">
      <w:pPr>
        <w:jc w:val="both"/>
        <w:rPr>
          <w:rFonts w:ascii="Calibri" w:hAnsi="Calibri" w:cs="Arial"/>
          <w:b/>
          <w:sz w:val="16"/>
          <w:szCs w:val="16"/>
        </w:rPr>
      </w:pPr>
      <w:r>
        <w:rPr>
          <w:rFonts w:ascii="Calibri" w:hAnsi="Calibri"/>
          <w:sz w:val="16"/>
          <w:szCs w:val="16"/>
        </w:rPr>
        <w:pict>
          <v:rect id="_x0000_i1026" style="width:415.65pt;height:1.5pt" o:hralign="center" o:hrstd="t" o:hr="t" fillcolor="#aca899" stroked="f"/>
        </w:pict>
      </w:r>
    </w:p>
    <w:p w:rsidR="00D01908" w:rsidRPr="00F04D06" w:rsidRDefault="00D01908" w:rsidP="00D01908">
      <w:pPr>
        <w:pStyle w:val="ListParagraph"/>
        <w:ind w:left="360"/>
        <w:contextualSpacing w:val="0"/>
        <w:jc w:val="both"/>
        <w:rPr>
          <w:rFonts w:ascii="Calibri" w:hAnsi="Calibri"/>
          <w:sz w:val="16"/>
          <w:szCs w:val="16"/>
        </w:rPr>
      </w:pPr>
    </w:p>
    <w:p w:rsidR="009A4AE4" w:rsidRDefault="00D01908" w:rsidP="00D01908">
      <w:pPr>
        <w:jc w:val="both"/>
        <w:rPr>
          <w:rFonts w:ascii="Calibri" w:hAnsi="Calibri"/>
          <w:sz w:val="22"/>
          <w:szCs w:val="22"/>
        </w:rPr>
      </w:pPr>
      <w:r w:rsidRPr="008C299A">
        <w:rPr>
          <w:rFonts w:ascii="Calibri" w:hAnsi="Calibri"/>
          <w:sz w:val="22"/>
          <w:szCs w:val="22"/>
        </w:rPr>
        <w:t>The indicative timetable is for the market sounding to be finalised in late July 2013 with Te Puni Kōkiri consideration of the outcomes expected by early August</w:t>
      </w:r>
      <w:r w:rsidR="00C43856">
        <w:rPr>
          <w:rFonts w:ascii="Calibri" w:hAnsi="Calibri"/>
          <w:sz w:val="22"/>
          <w:szCs w:val="22"/>
        </w:rPr>
        <w:t xml:space="preserve"> 2013</w:t>
      </w:r>
      <w:r w:rsidRPr="008C299A">
        <w:rPr>
          <w:rFonts w:ascii="Calibri" w:hAnsi="Calibri"/>
          <w:sz w:val="22"/>
          <w:szCs w:val="22"/>
        </w:rPr>
        <w:t>.</w:t>
      </w:r>
      <w:r w:rsidR="009A4AE4">
        <w:rPr>
          <w:rFonts w:ascii="Calibri" w:hAnsi="Calibri"/>
          <w:sz w:val="22"/>
          <w:szCs w:val="22"/>
        </w:rPr>
        <w:t xml:space="preserve"> </w:t>
      </w:r>
    </w:p>
    <w:p w:rsidR="009A4AE4" w:rsidRDefault="009A4AE4" w:rsidP="00D01908">
      <w:pPr>
        <w:jc w:val="both"/>
        <w:rPr>
          <w:rFonts w:ascii="Calibri" w:hAnsi="Calibri"/>
          <w:sz w:val="22"/>
          <w:szCs w:val="22"/>
        </w:rPr>
      </w:pPr>
    </w:p>
    <w:p w:rsidR="00D01908" w:rsidRPr="008C299A" w:rsidRDefault="00D01908" w:rsidP="00D01908">
      <w:pPr>
        <w:jc w:val="both"/>
        <w:rPr>
          <w:rFonts w:ascii="Calibri" w:hAnsi="Calibri"/>
          <w:sz w:val="22"/>
          <w:szCs w:val="22"/>
        </w:rPr>
      </w:pPr>
      <w:r w:rsidRPr="008C299A">
        <w:rPr>
          <w:rFonts w:ascii="Calibri" w:hAnsi="Calibri"/>
          <w:sz w:val="22"/>
          <w:szCs w:val="22"/>
        </w:rPr>
        <w:t>Should Te Puni Kōkiri decide to proceed with the project, a formal procurement pr</w:t>
      </w:r>
      <w:r>
        <w:rPr>
          <w:rFonts w:ascii="Calibri" w:hAnsi="Calibri"/>
          <w:sz w:val="22"/>
          <w:szCs w:val="22"/>
        </w:rPr>
        <w:t xml:space="preserve">ocess </w:t>
      </w:r>
      <w:r w:rsidR="007E7EB2">
        <w:rPr>
          <w:rFonts w:ascii="Calibri" w:hAnsi="Calibri"/>
          <w:sz w:val="22"/>
          <w:szCs w:val="22"/>
        </w:rPr>
        <w:t>will</w:t>
      </w:r>
      <w:r>
        <w:rPr>
          <w:rFonts w:ascii="Calibri" w:hAnsi="Calibri"/>
          <w:sz w:val="22"/>
          <w:szCs w:val="22"/>
        </w:rPr>
        <w:t xml:space="preserve"> be initiated by mid-</w:t>
      </w:r>
      <w:r w:rsidRPr="008C299A">
        <w:rPr>
          <w:rFonts w:ascii="Calibri" w:hAnsi="Calibri"/>
          <w:sz w:val="22"/>
          <w:szCs w:val="22"/>
        </w:rPr>
        <w:t>August 2013.</w:t>
      </w:r>
    </w:p>
    <w:p w:rsidR="00D01908" w:rsidRPr="008C299A" w:rsidRDefault="00D01908" w:rsidP="00D01908">
      <w:pPr>
        <w:jc w:val="both"/>
        <w:rPr>
          <w:rFonts w:ascii="Calibri" w:hAnsi="Calibri"/>
          <w:sz w:val="22"/>
          <w:szCs w:val="22"/>
        </w:rPr>
      </w:pPr>
    </w:p>
    <w:p w:rsidR="00D01908" w:rsidRPr="002910C1" w:rsidRDefault="0034733E" w:rsidP="00D01908">
      <w:pPr>
        <w:jc w:val="both"/>
        <w:rPr>
          <w:rFonts w:ascii="Calibri" w:hAnsi="Calibri"/>
          <w:b/>
          <w:sz w:val="28"/>
          <w:szCs w:val="28"/>
        </w:rPr>
      </w:pPr>
      <w:r>
        <w:rPr>
          <w:rFonts w:ascii="Calibri" w:hAnsi="Calibri"/>
          <w:b/>
          <w:sz w:val="28"/>
          <w:szCs w:val="28"/>
        </w:rPr>
        <w:t>Written r</w:t>
      </w:r>
      <w:r w:rsidR="00D01908" w:rsidRPr="002910C1">
        <w:rPr>
          <w:rFonts w:ascii="Calibri" w:hAnsi="Calibri"/>
          <w:b/>
          <w:sz w:val="28"/>
          <w:szCs w:val="28"/>
        </w:rPr>
        <w:t>esponses</w:t>
      </w:r>
    </w:p>
    <w:p w:rsidR="00D01908" w:rsidRPr="009A4AE4" w:rsidRDefault="00D01908" w:rsidP="00D01908">
      <w:pPr>
        <w:jc w:val="both"/>
        <w:rPr>
          <w:rFonts w:ascii="Calibri" w:hAnsi="Calibri"/>
          <w:b/>
          <w:sz w:val="22"/>
          <w:szCs w:val="22"/>
        </w:rPr>
      </w:pPr>
    </w:p>
    <w:p w:rsidR="009A4AE4" w:rsidRDefault="00D01908" w:rsidP="00D01908">
      <w:pPr>
        <w:jc w:val="both"/>
        <w:rPr>
          <w:rFonts w:ascii="Calibri" w:hAnsi="Calibri"/>
          <w:sz w:val="22"/>
          <w:szCs w:val="22"/>
        </w:rPr>
      </w:pPr>
      <w:r w:rsidRPr="008C299A">
        <w:rPr>
          <w:rFonts w:ascii="Calibri" w:hAnsi="Calibri"/>
          <w:sz w:val="22"/>
          <w:szCs w:val="22"/>
        </w:rPr>
        <w:t>The respondent’s written submission should be emailed to Te Puni Kōkiri at the email address specified below by</w:t>
      </w:r>
      <w:r w:rsidRPr="00C57130">
        <w:rPr>
          <w:rFonts w:ascii="Calibri" w:hAnsi="Calibri"/>
          <w:sz w:val="22"/>
          <w:szCs w:val="22"/>
        </w:rPr>
        <w:t xml:space="preserve">: </w:t>
      </w:r>
      <w:r w:rsidRPr="00C57130">
        <w:rPr>
          <w:rFonts w:ascii="Calibri" w:hAnsi="Calibri"/>
          <w:b/>
          <w:sz w:val="22"/>
          <w:szCs w:val="22"/>
        </w:rPr>
        <w:t>6:00</w:t>
      </w:r>
      <w:r w:rsidR="00684764">
        <w:rPr>
          <w:rFonts w:ascii="Calibri" w:hAnsi="Calibri"/>
          <w:b/>
          <w:sz w:val="22"/>
          <w:szCs w:val="22"/>
        </w:rPr>
        <w:t xml:space="preserve"> </w:t>
      </w:r>
      <w:r w:rsidRPr="00C57130">
        <w:rPr>
          <w:rFonts w:ascii="Calibri" w:hAnsi="Calibri"/>
          <w:b/>
          <w:sz w:val="22"/>
          <w:szCs w:val="22"/>
        </w:rPr>
        <w:t xml:space="preserve">pm on </w:t>
      </w:r>
      <w:r w:rsidR="008408D9" w:rsidRPr="00C57130">
        <w:rPr>
          <w:rFonts w:ascii="Calibri" w:hAnsi="Calibri"/>
          <w:b/>
          <w:sz w:val="22"/>
          <w:szCs w:val="22"/>
        </w:rPr>
        <w:t>Wednesday 31</w:t>
      </w:r>
      <w:r w:rsidRPr="00C57130">
        <w:rPr>
          <w:rFonts w:ascii="Calibri" w:hAnsi="Calibri"/>
          <w:b/>
          <w:sz w:val="22"/>
          <w:szCs w:val="22"/>
        </w:rPr>
        <w:t xml:space="preserve"> July</w:t>
      </w:r>
      <w:r w:rsidR="00684764">
        <w:rPr>
          <w:rFonts w:ascii="Calibri" w:hAnsi="Calibri"/>
          <w:b/>
          <w:sz w:val="22"/>
          <w:szCs w:val="22"/>
        </w:rPr>
        <w:t xml:space="preserve"> 2013.</w:t>
      </w:r>
    </w:p>
    <w:p w:rsidR="009A4AE4" w:rsidRDefault="009A4AE4" w:rsidP="00D01908">
      <w:pPr>
        <w:jc w:val="both"/>
        <w:rPr>
          <w:rFonts w:ascii="Calibri" w:hAnsi="Calibri"/>
          <w:sz w:val="22"/>
          <w:szCs w:val="22"/>
        </w:rPr>
      </w:pPr>
    </w:p>
    <w:p w:rsidR="00D01908" w:rsidRDefault="00D01908" w:rsidP="00D01908">
      <w:pPr>
        <w:jc w:val="both"/>
        <w:rPr>
          <w:rFonts w:ascii="Calibri" w:hAnsi="Calibri"/>
          <w:sz w:val="22"/>
          <w:szCs w:val="22"/>
        </w:rPr>
      </w:pPr>
      <w:r w:rsidRPr="008C299A">
        <w:rPr>
          <w:rFonts w:ascii="Calibri" w:hAnsi="Calibri"/>
          <w:sz w:val="22"/>
          <w:szCs w:val="22"/>
        </w:rPr>
        <w:t xml:space="preserve">Without limiting the range or scope of areas for feedback that may assist Te Puni Kōkiri to make decisions on its approach for this project, respondents are requested to structure their responses in accordance with the questions set out in the attached </w:t>
      </w:r>
      <w:r w:rsidR="00C43856">
        <w:rPr>
          <w:rFonts w:ascii="Calibri" w:hAnsi="Calibri"/>
          <w:sz w:val="22"/>
          <w:szCs w:val="22"/>
        </w:rPr>
        <w:t>Schedule 2</w:t>
      </w:r>
      <w:r w:rsidR="002910C1">
        <w:rPr>
          <w:rFonts w:ascii="Calibri" w:hAnsi="Calibri"/>
          <w:sz w:val="22"/>
          <w:szCs w:val="22"/>
        </w:rPr>
        <w:t xml:space="preserve">: </w:t>
      </w:r>
      <w:r w:rsidRPr="008C299A">
        <w:rPr>
          <w:rFonts w:ascii="Calibri" w:hAnsi="Calibri"/>
          <w:sz w:val="22"/>
          <w:szCs w:val="22"/>
        </w:rPr>
        <w:t>Market Sounding Questionnaire.</w:t>
      </w:r>
    </w:p>
    <w:p w:rsidR="002910C1" w:rsidRPr="008C299A" w:rsidRDefault="002910C1" w:rsidP="00D01908">
      <w:pPr>
        <w:jc w:val="both"/>
        <w:rPr>
          <w:rFonts w:ascii="Calibri" w:hAnsi="Calibri"/>
          <w:sz w:val="22"/>
          <w:szCs w:val="22"/>
        </w:rPr>
      </w:pPr>
    </w:p>
    <w:p w:rsidR="00D01908" w:rsidRPr="008C299A" w:rsidRDefault="00D01908" w:rsidP="00D01908">
      <w:pPr>
        <w:jc w:val="both"/>
        <w:rPr>
          <w:rFonts w:ascii="Calibri" w:hAnsi="Calibri"/>
          <w:sz w:val="22"/>
          <w:szCs w:val="22"/>
        </w:rPr>
      </w:pPr>
      <w:r w:rsidRPr="008C299A">
        <w:rPr>
          <w:rFonts w:ascii="Calibri" w:hAnsi="Calibri"/>
          <w:sz w:val="22"/>
          <w:szCs w:val="22"/>
        </w:rPr>
        <w:t xml:space="preserve">Email: </w:t>
      </w:r>
      <w:r w:rsidR="002910C1">
        <w:rPr>
          <w:rFonts w:ascii="Calibri" w:hAnsi="Calibri"/>
          <w:sz w:val="22"/>
          <w:szCs w:val="22"/>
        </w:rPr>
        <w:tab/>
      </w:r>
      <w:r w:rsidR="002910C1">
        <w:rPr>
          <w:rFonts w:ascii="Calibri" w:hAnsi="Calibri"/>
          <w:sz w:val="22"/>
          <w:szCs w:val="22"/>
        </w:rPr>
        <w:tab/>
        <w:t>wha</w:t>
      </w:r>
      <w:r w:rsidRPr="008C299A">
        <w:rPr>
          <w:rFonts w:ascii="Calibri" w:hAnsi="Calibri"/>
          <w:sz w:val="22"/>
          <w:szCs w:val="22"/>
        </w:rPr>
        <w:t>nauoracommissioning@tpk.govt.nz</w:t>
      </w:r>
    </w:p>
    <w:p w:rsidR="009A4AE4" w:rsidRDefault="009A4AE4" w:rsidP="00D01908">
      <w:pPr>
        <w:jc w:val="both"/>
        <w:rPr>
          <w:rFonts w:ascii="Calibri" w:hAnsi="Calibri"/>
          <w:sz w:val="22"/>
          <w:szCs w:val="22"/>
        </w:rPr>
      </w:pPr>
    </w:p>
    <w:p w:rsidR="00D01908" w:rsidRPr="008C299A" w:rsidRDefault="00D01908" w:rsidP="00D01908">
      <w:pPr>
        <w:jc w:val="both"/>
        <w:rPr>
          <w:rFonts w:ascii="Calibri" w:hAnsi="Calibri"/>
          <w:sz w:val="22"/>
          <w:szCs w:val="22"/>
        </w:rPr>
      </w:pPr>
      <w:r w:rsidRPr="008C299A">
        <w:rPr>
          <w:rFonts w:ascii="Calibri" w:hAnsi="Calibri"/>
          <w:sz w:val="22"/>
          <w:szCs w:val="22"/>
        </w:rPr>
        <w:t xml:space="preserve">Website: </w:t>
      </w:r>
      <w:r w:rsidR="002910C1">
        <w:rPr>
          <w:rFonts w:ascii="Calibri" w:hAnsi="Calibri"/>
          <w:sz w:val="22"/>
          <w:szCs w:val="22"/>
        </w:rPr>
        <w:tab/>
      </w:r>
      <w:r w:rsidRPr="008C299A">
        <w:rPr>
          <w:rFonts w:ascii="Calibri" w:hAnsi="Calibri"/>
          <w:sz w:val="22"/>
          <w:szCs w:val="22"/>
        </w:rPr>
        <w:t>www.tpk.govt.nz</w:t>
      </w:r>
    </w:p>
    <w:p w:rsidR="00D01908" w:rsidRPr="008C299A" w:rsidRDefault="00D01908" w:rsidP="00D01908">
      <w:pPr>
        <w:jc w:val="both"/>
        <w:rPr>
          <w:rFonts w:ascii="Calibri" w:hAnsi="Calibri"/>
          <w:sz w:val="22"/>
          <w:szCs w:val="22"/>
        </w:rPr>
      </w:pPr>
    </w:p>
    <w:p w:rsidR="00D01908" w:rsidRPr="002910C1" w:rsidRDefault="0034733E" w:rsidP="00D01908">
      <w:pPr>
        <w:jc w:val="both"/>
        <w:rPr>
          <w:rFonts w:ascii="Calibri" w:hAnsi="Calibri"/>
          <w:b/>
          <w:sz w:val="28"/>
          <w:szCs w:val="28"/>
        </w:rPr>
      </w:pPr>
      <w:r>
        <w:rPr>
          <w:rFonts w:ascii="Calibri" w:hAnsi="Calibri"/>
          <w:b/>
          <w:sz w:val="28"/>
          <w:szCs w:val="28"/>
        </w:rPr>
        <w:t>Market s</w:t>
      </w:r>
      <w:r w:rsidR="002910C1" w:rsidRPr="002910C1">
        <w:rPr>
          <w:rFonts w:ascii="Calibri" w:hAnsi="Calibri"/>
          <w:b/>
          <w:sz w:val="28"/>
          <w:szCs w:val="28"/>
        </w:rPr>
        <w:t xml:space="preserve">ounding </w:t>
      </w:r>
      <w:r>
        <w:rPr>
          <w:rFonts w:ascii="Calibri" w:hAnsi="Calibri"/>
          <w:b/>
          <w:sz w:val="28"/>
          <w:szCs w:val="28"/>
        </w:rPr>
        <w:t>w</w:t>
      </w:r>
      <w:r w:rsidR="00D01908" w:rsidRPr="002910C1">
        <w:rPr>
          <w:rFonts w:ascii="Calibri" w:hAnsi="Calibri"/>
          <w:b/>
          <w:sz w:val="28"/>
          <w:szCs w:val="28"/>
        </w:rPr>
        <w:t>orkshop</w:t>
      </w:r>
    </w:p>
    <w:p w:rsidR="002910C1" w:rsidRPr="009A4AE4" w:rsidRDefault="002910C1" w:rsidP="00D01908">
      <w:pPr>
        <w:jc w:val="both"/>
        <w:rPr>
          <w:rFonts w:ascii="Calibri" w:hAnsi="Calibri"/>
          <w:b/>
          <w:sz w:val="22"/>
          <w:szCs w:val="22"/>
        </w:rPr>
      </w:pPr>
    </w:p>
    <w:p w:rsidR="00DC3349" w:rsidRDefault="00D01908" w:rsidP="00D01908">
      <w:pPr>
        <w:jc w:val="both"/>
        <w:rPr>
          <w:rFonts w:ascii="Calibri" w:hAnsi="Calibri"/>
          <w:sz w:val="22"/>
          <w:szCs w:val="22"/>
        </w:rPr>
      </w:pPr>
      <w:r w:rsidRPr="008C299A">
        <w:rPr>
          <w:rFonts w:ascii="Calibri" w:hAnsi="Calibri"/>
          <w:sz w:val="22"/>
          <w:szCs w:val="22"/>
        </w:rPr>
        <w:t xml:space="preserve">Depending on the level of interest, Te Puni Kōkiri </w:t>
      </w:r>
      <w:r w:rsidR="002910C1">
        <w:rPr>
          <w:rFonts w:ascii="Calibri" w:hAnsi="Calibri"/>
          <w:sz w:val="22"/>
          <w:szCs w:val="22"/>
        </w:rPr>
        <w:t xml:space="preserve">will </w:t>
      </w:r>
      <w:r w:rsidR="002C2500">
        <w:rPr>
          <w:rFonts w:ascii="Calibri" w:hAnsi="Calibri"/>
          <w:sz w:val="22"/>
          <w:szCs w:val="22"/>
        </w:rPr>
        <w:t>organise a market sounding w</w:t>
      </w:r>
      <w:r w:rsidRPr="008C299A">
        <w:rPr>
          <w:rFonts w:ascii="Calibri" w:hAnsi="Calibri"/>
          <w:sz w:val="22"/>
          <w:szCs w:val="22"/>
        </w:rPr>
        <w:t xml:space="preserve">orkshop following the close of the written response period. </w:t>
      </w:r>
    </w:p>
    <w:p w:rsidR="00DC3349" w:rsidRDefault="00DC3349" w:rsidP="00D01908">
      <w:pPr>
        <w:jc w:val="both"/>
        <w:rPr>
          <w:rFonts w:ascii="Calibri" w:hAnsi="Calibri"/>
          <w:sz w:val="22"/>
          <w:szCs w:val="22"/>
        </w:rPr>
      </w:pPr>
    </w:p>
    <w:p w:rsidR="009A4AE4" w:rsidRDefault="00D01908" w:rsidP="00D01908">
      <w:pPr>
        <w:jc w:val="both"/>
        <w:rPr>
          <w:rFonts w:ascii="Calibri" w:hAnsi="Calibri"/>
          <w:sz w:val="22"/>
          <w:szCs w:val="22"/>
        </w:rPr>
      </w:pPr>
      <w:r w:rsidRPr="008C299A">
        <w:rPr>
          <w:rFonts w:ascii="Calibri" w:hAnsi="Calibri"/>
          <w:sz w:val="22"/>
          <w:szCs w:val="22"/>
        </w:rPr>
        <w:t xml:space="preserve">The purpose of this workshop </w:t>
      </w:r>
      <w:r w:rsidR="002910C1">
        <w:rPr>
          <w:rFonts w:ascii="Calibri" w:hAnsi="Calibri"/>
          <w:sz w:val="22"/>
          <w:szCs w:val="22"/>
        </w:rPr>
        <w:t xml:space="preserve">is </w:t>
      </w:r>
      <w:r w:rsidRPr="008C299A">
        <w:rPr>
          <w:rFonts w:ascii="Calibri" w:hAnsi="Calibri"/>
          <w:sz w:val="22"/>
          <w:szCs w:val="22"/>
        </w:rPr>
        <w:t xml:space="preserve">to provide a forum for respondents to discuss the market sounding issues in more detail with Te Puni Kōkiri. </w:t>
      </w:r>
    </w:p>
    <w:p w:rsidR="009A4AE4" w:rsidRDefault="009A4AE4" w:rsidP="00D01908">
      <w:pPr>
        <w:jc w:val="both"/>
        <w:rPr>
          <w:rFonts w:ascii="Calibri" w:hAnsi="Calibri"/>
          <w:sz w:val="22"/>
          <w:szCs w:val="22"/>
        </w:rPr>
      </w:pPr>
    </w:p>
    <w:p w:rsidR="00DC3349" w:rsidRDefault="00D01908" w:rsidP="00D01908">
      <w:pPr>
        <w:jc w:val="both"/>
        <w:rPr>
          <w:rFonts w:ascii="Calibri" w:hAnsi="Calibri"/>
          <w:sz w:val="22"/>
          <w:szCs w:val="22"/>
        </w:rPr>
      </w:pPr>
      <w:r w:rsidRPr="008C299A">
        <w:rPr>
          <w:rFonts w:ascii="Calibri" w:hAnsi="Calibri"/>
          <w:sz w:val="22"/>
          <w:szCs w:val="22"/>
        </w:rPr>
        <w:t>Any informati</w:t>
      </w:r>
      <w:r w:rsidR="007E7EB2">
        <w:rPr>
          <w:rFonts w:ascii="Calibri" w:hAnsi="Calibri"/>
          <w:sz w:val="22"/>
          <w:szCs w:val="22"/>
        </w:rPr>
        <w:t>on provided at this workshop</w:t>
      </w:r>
      <w:r w:rsidR="002910C1">
        <w:rPr>
          <w:rFonts w:ascii="Calibri" w:hAnsi="Calibri"/>
          <w:sz w:val="22"/>
          <w:szCs w:val="22"/>
        </w:rPr>
        <w:t xml:space="preserve"> – </w:t>
      </w:r>
      <w:r w:rsidRPr="008C299A">
        <w:rPr>
          <w:rFonts w:ascii="Calibri" w:hAnsi="Calibri"/>
          <w:sz w:val="22"/>
          <w:szCs w:val="22"/>
        </w:rPr>
        <w:t xml:space="preserve">including general </w:t>
      </w:r>
      <w:r w:rsidR="002910C1">
        <w:rPr>
          <w:rFonts w:ascii="Calibri" w:hAnsi="Calibri"/>
          <w:sz w:val="22"/>
          <w:szCs w:val="22"/>
        </w:rPr>
        <w:t xml:space="preserve">questions and answers – </w:t>
      </w:r>
      <w:r w:rsidRPr="008C299A">
        <w:rPr>
          <w:rFonts w:ascii="Calibri" w:hAnsi="Calibri"/>
          <w:sz w:val="22"/>
          <w:szCs w:val="22"/>
        </w:rPr>
        <w:t xml:space="preserve">will be made available to all respondents via </w:t>
      </w:r>
      <w:r w:rsidR="002910C1">
        <w:rPr>
          <w:rFonts w:ascii="Calibri" w:hAnsi="Calibri"/>
          <w:sz w:val="22"/>
          <w:szCs w:val="22"/>
        </w:rPr>
        <w:t>the website of Te Puni Kōkiri.</w:t>
      </w:r>
      <w:r w:rsidR="009A4AE4">
        <w:rPr>
          <w:rFonts w:ascii="Calibri" w:hAnsi="Calibri"/>
          <w:sz w:val="22"/>
          <w:szCs w:val="22"/>
        </w:rPr>
        <w:t xml:space="preserve"> </w:t>
      </w:r>
    </w:p>
    <w:p w:rsidR="00DC3349" w:rsidRDefault="00DC3349" w:rsidP="00D01908">
      <w:pPr>
        <w:jc w:val="both"/>
        <w:rPr>
          <w:rFonts w:ascii="Calibri" w:hAnsi="Calibri"/>
          <w:sz w:val="22"/>
          <w:szCs w:val="22"/>
        </w:rPr>
      </w:pPr>
    </w:p>
    <w:p w:rsidR="009A4AE4" w:rsidRDefault="00D01908" w:rsidP="00D01908">
      <w:pPr>
        <w:jc w:val="both"/>
        <w:rPr>
          <w:rFonts w:ascii="Calibri" w:hAnsi="Calibri"/>
          <w:sz w:val="22"/>
          <w:szCs w:val="22"/>
        </w:rPr>
      </w:pPr>
      <w:r w:rsidRPr="008C299A">
        <w:rPr>
          <w:rFonts w:ascii="Calibri" w:hAnsi="Calibri"/>
          <w:sz w:val="22"/>
          <w:szCs w:val="22"/>
        </w:rPr>
        <w:t>The structure and format of this workshop will be determined once Te Puni Kōkiri has a clear view on the level of demand</w:t>
      </w:r>
      <w:r w:rsidR="00C57130">
        <w:rPr>
          <w:rFonts w:ascii="Calibri" w:hAnsi="Calibri"/>
          <w:sz w:val="22"/>
          <w:szCs w:val="22"/>
        </w:rPr>
        <w:t>. I</w:t>
      </w:r>
      <w:r w:rsidR="000145C5">
        <w:rPr>
          <w:rFonts w:ascii="Calibri" w:hAnsi="Calibri"/>
          <w:sz w:val="22"/>
          <w:szCs w:val="22"/>
        </w:rPr>
        <w:t>f there is sufficient demand, more than</w:t>
      </w:r>
      <w:r w:rsidR="00C57130">
        <w:rPr>
          <w:rFonts w:ascii="Calibri" w:hAnsi="Calibri"/>
          <w:sz w:val="22"/>
          <w:szCs w:val="22"/>
        </w:rPr>
        <w:t xml:space="preserve"> one workshop will be organised.</w:t>
      </w:r>
    </w:p>
    <w:p w:rsidR="009A4AE4" w:rsidRDefault="009A4AE4" w:rsidP="00D01908">
      <w:pPr>
        <w:jc w:val="both"/>
        <w:rPr>
          <w:rFonts w:ascii="Calibri" w:hAnsi="Calibri"/>
          <w:sz w:val="22"/>
          <w:szCs w:val="22"/>
        </w:rPr>
      </w:pPr>
    </w:p>
    <w:p w:rsidR="00DC3349" w:rsidRDefault="00D01908" w:rsidP="00D01908">
      <w:pPr>
        <w:jc w:val="both"/>
        <w:rPr>
          <w:rFonts w:ascii="Calibri" w:hAnsi="Calibri"/>
          <w:sz w:val="22"/>
          <w:szCs w:val="22"/>
        </w:rPr>
      </w:pPr>
      <w:r w:rsidRPr="008C299A">
        <w:rPr>
          <w:rFonts w:ascii="Calibri" w:hAnsi="Calibri"/>
          <w:sz w:val="22"/>
          <w:szCs w:val="22"/>
        </w:rPr>
        <w:t xml:space="preserve">The Market Sounding Questionnaire asks that respondents indicate their interest in attending such a workshop. </w:t>
      </w:r>
    </w:p>
    <w:p w:rsidR="00DC3349" w:rsidRDefault="00DC3349" w:rsidP="00D01908">
      <w:pPr>
        <w:jc w:val="both"/>
        <w:rPr>
          <w:rFonts w:ascii="Calibri" w:hAnsi="Calibri"/>
          <w:sz w:val="22"/>
          <w:szCs w:val="22"/>
        </w:rPr>
      </w:pPr>
    </w:p>
    <w:p w:rsidR="009A4AE4" w:rsidRDefault="00D01908" w:rsidP="00D01908">
      <w:pPr>
        <w:jc w:val="both"/>
        <w:rPr>
          <w:rFonts w:ascii="Calibri" w:hAnsi="Calibri"/>
          <w:sz w:val="22"/>
          <w:szCs w:val="22"/>
        </w:rPr>
      </w:pPr>
      <w:r w:rsidRPr="008C299A">
        <w:rPr>
          <w:rFonts w:ascii="Calibri" w:hAnsi="Calibri"/>
          <w:sz w:val="22"/>
          <w:szCs w:val="22"/>
        </w:rPr>
        <w:t xml:space="preserve">The workshop will only be open to respondents who provide a </w:t>
      </w:r>
      <w:r w:rsidRPr="00F04D06">
        <w:rPr>
          <w:rFonts w:ascii="Calibri" w:hAnsi="Calibri"/>
          <w:sz w:val="22"/>
          <w:szCs w:val="22"/>
        </w:rPr>
        <w:t>complete</w:t>
      </w:r>
      <w:r w:rsidRPr="008C299A">
        <w:rPr>
          <w:rFonts w:ascii="Calibri" w:hAnsi="Calibri"/>
          <w:sz w:val="22"/>
          <w:szCs w:val="22"/>
        </w:rPr>
        <w:t xml:space="preserve"> response to the Market Sounding Questionnaire</w:t>
      </w:r>
      <w:r w:rsidR="009A4AE4">
        <w:rPr>
          <w:rFonts w:ascii="Calibri" w:hAnsi="Calibri"/>
          <w:sz w:val="22"/>
          <w:szCs w:val="22"/>
        </w:rPr>
        <w:t xml:space="preserve">. </w:t>
      </w:r>
    </w:p>
    <w:p w:rsidR="009A4AE4" w:rsidRDefault="009A4AE4" w:rsidP="00D01908">
      <w:pPr>
        <w:jc w:val="both"/>
        <w:rPr>
          <w:rFonts w:ascii="Calibri" w:hAnsi="Calibri"/>
          <w:sz w:val="22"/>
          <w:szCs w:val="22"/>
        </w:rPr>
      </w:pPr>
    </w:p>
    <w:p w:rsidR="00D01908" w:rsidRPr="008C299A" w:rsidRDefault="00D01908" w:rsidP="00D01908">
      <w:pPr>
        <w:jc w:val="both"/>
        <w:rPr>
          <w:rFonts w:ascii="Calibri" w:hAnsi="Calibri"/>
          <w:sz w:val="22"/>
          <w:szCs w:val="22"/>
        </w:rPr>
      </w:pPr>
      <w:r w:rsidRPr="00F04D06">
        <w:rPr>
          <w:rFonts w:ascii="Calibri" w:hAnsi="Calibri"/>
          <w:sz w:val="22"/>
          <w:szCs w:val="22"/>
        </w:rPr>
        <w:t xml:space="preserve">In addition, Te Puni Kōkiri may seek interviews with specific parties and respondents where it considers this </w:t>
      </w:r>
      <w:r w:rsidR="002C2500" w:rsidRPr="00F04D06">
        <w:rPr>
          <w:rFonts w:ascii="Calibri" w:hAnsi="Calibri"/>
          <w:sz w:val="22"/>
          <w:szCs w:val="22"/>
        </w:rPr>
        <w:t>will</w:t>
      </w:r>
      <w:r w:rsidRPr="00F04D06">
        <w:rPr>
          <w:rFonts w:ascii="Calibri" w:hAnsi="Calibri"/>
          <w:sz w:val="22"/>
          <w:szCs w:val="22"/>
        </w:rPr>
        <w:t xml:space="preserve"> assist the development of the project.</w:t>
      </w:r>
    </w:p>
    <w:p w:rsidR="00D01908" w:rsidRPr="008C299A" w:rsidRDefault="00D01908" w:rsidP="00D01908">
      <w:pPr>
        <w:jc w:val="both"/>
        <w:rPr>
          <w:rFonts w:ascii="Calibri" w:hAnsi="Calibri"/>
          <w:sz w:val="22"/>
          <w:szCs w:val="22"/>
        </w:rPr>
      </w:pPr>
    </w:p>
    <w:p w:rsidR="007E7EB2" w:rsidRDefault="007E7EB2" w:rsidP="007E7EB2">
      <w:pPr>
        <w:jc w:val="right"/>
        <w:rPr>
          <w:rFonts w:ascii="Calibri" w:hAnsi="Calibri"/>
          <w:b/>
          <w:sz w:val="28"/>
          <w:szCs w:val="28"/>
        </w:rPr>
      </w:pPr>
      <w:r>
        <w:rPr>
          <w:rFonts w:ascii="Calibri" w:hAnsi="Calibri"/>
          <w:b/>
          <w:sz w:val="28"/>
          <w:szCs w:val="28"/>
        </w:rPr>
        <w:br w:type="page"/>
      </w:r>
    </w:p>
    <w:p w:rsidR="00D01908" w:rsidRPr="009A4AE4" w:rsidRDefault="0034733E" w:rsidP="00D01908">
      <w:pPr>
        <w:jc w:val="both"/>
        <w:rPr>
          <w:rFonts w:ascii="Calibri" w:hAnsi="Calibri"/>
          <w:b/>
          <w:sz w:val="28"/>
          <w:szCs w:val="28"/>
        </w:rPr>
      </w:pPr>
      <w:r>
        <w:rPr>
          <w:rFonts w:ascii="Calibri" w:hAnsi="Calibri"/>
          <w:b/>
          <w:sz w:val="28"/>
          <w:szCs w:val="28"/>
        </w:rPr>
        <w:lastRenderedPageBreak/>
        <w:t>Participation in the m</w:t>
      </w:r>
      <w:r w:rsidR="00D01908" w:rsidRPr="009A4AE4">
        <w:rPr>
          <w:rFonts w:ascii="Calibri" w:hAnsi="Calibri"/>
          <w:b/>
          <w:sz w:val="28"/>
          <w:szCs w:val="28"/>
        </w:rPr>
        <w:t xml:space="preserve">arket </w:t>
      </w:r>
      <w:r>
        <w:rPr>
          <w:rFonts w:ascii="Calibri" w:hAnsi="Calibri"/>
          <w:b/>
          <w:sz w:val="28"/>
          <w:szCs w:val="28"/>
        </w:rPr>
        <w:t>s</w:t>
      </w:r>
      <w:r w:rsidR="00D01908" w:rsidRPr="009A4AE4">
        <w:rPr>
          <w:rFonts w:ascii="Calibri" w:hAnsi="Calibri"/>
          <w:b/>
          <w:sz w:val="28"/>
          <w:szCs w:val="28"/>
        </w:rPr>
        <w:t>ounding</w:t>
      </w:r>
    </w:p>
    <w:p w:rsidR="002910C1" w:rsidRDefault="002910C1" w:rsidP="00D01908">
      <w:pPr>
        <w:jc w:val="both"/>
        <w:rPr>
          <w:rFonts w:ascii="Calibri" w:hAnsi="Calibri"/>
          <w:sz w:val="22"/>
          <w:szCs w:val="22"/>
        </w:rPr>
      </w:pPr>
    </w:p>
    <w:p w:rsidR="009A4AE4" w:rsidRDefault="00D01908" w:rsidP="00D01908">
      <w:pPr>
        <w:jc w:val="both"/>
        <w:rPr>
          <w:rFonts w:ascii="Calibri" w:hAnsi="Calibri"/>
          <w:sz w:val="22"/>
          <w:szCs w:val="22"/>
        </w:rPr>
      </w:pPr>
      <w:r w:rsidRPr="008C299A">
        <w:rPr>
          <w:rFonts w:ascii="Calibri" w:hAnsi="Calibri"/>
          <w:sz w:val="22"/>
          <w:szCs w:val="22"/>
        </w:rPr>
        <w:t xml:space="preserve">Participation by respondents in the market sounding is voluntary. The market sounding is not part of any procurement or tender process. </w:t>
      </w:r>
    </w:p>
    <w:p w:rsidR="009A4AE4" w:rsidRDefault="009A4AE4" w:rsidP="00D01908">
      <w:pPr>
        <w:jc w:val="both"/>
        <w:rPr>
          <w:rFonts w:ascii="Calibri" w:hAnsi="Calibri"/>
          <w:sz w:val="22"/>
          <w:szCs w:val="22"/>
        </w:rPr>
      </w:pPr>
    </w:p>
    <w:p w:rsidR="00DC3349" w:rsidRDefault="00D01908" w:rsidP="00D01908">
      <w:pPr>
        <w:jc w:val="both"/>
        <w:rPr>
          <w:rFonts w:ascii="Calibri" w:hAnsi="Calibri"/>
          <w:sz w:val="22"/>
          <w:szCs w:val="22"/>
        </w:rPr>
      </w:pPr>
      <w:r w:rsidRPr="008C299A">
        <w:rPr>
          <w:rFonts w:ascii="Calibri" w:hAnsi="Calibri"/>
          <w:sz w:val="22"/>
          <w:szCs w:val="22"/>
        </w:rPr>
        <w:t xml:space="preserve">However, information provided and the outcome of the market sounding process may influence </w:t>
      </w:r>
      <w:r w:rsidR="00F04D06">
        <w:rPr>
          <w:rFonts w:ascii="Calibri" w:hAnsi="Calibri"/>
          <w:sz w:val="22"/>
          <w:szCs w:val="22"/>
        </w:rPr>
        <w:t xml:space="preserve">the thinking of Te Puni Kokiri about the commissioning model. </w:t>
      </w:r>
    </w:p>
    <w:p w:rsidR="00F04D06" w:rsidRDefault="00F04D06" w:rsidP="00D01908">
      <w:pPr>
        <w:jc w:val="both"/>
        <w:rPr>
          <w:rFonts w:ascii="Calibri" w:hAnsi="Calibri"/>
          <w:sz w:val="22"/>
          <w:szCs w:val="22"/>
        </w:rPr>
      </w:pPr>
    </w:p>
    <w:p w:rsidR="00D01908" w:rsidRPr="008C299A" w:rsidRDefault="00D01908" w:rsidP="00D01908">
      <w:pPr>
        <w:jc w:val="both"/>
        <w:rPr>
          <w:rFonts w:ascii="Calibri" w:hAnsi="Calibri"/>
          <w:sz w:val="22"/>
          <w:szCs w:val="22"/>
        </w:rPr>
      </w:pPr>
      <w:r w:rsidRPr="008C299A">
        <w:rPr>
          <w:rFonts w:ascii="Calibri" w:hAnsi="Calibri"/>
          <w:sz w:val="22"/>
          <w:szCs w:val="22"/>
        </w:rPr>
        <w:t xml:space="preserve">Any respondent that participates in this market sounding is </w:t>
      </w:r>
      <w:r w:rsidR="002C2500">
        <w:rPr>
          <w:rFonts w:ascii="Calibri" w:hAnsi="Calibri"/>
          <w:sz w:val="22"/>
          <w:szCs w:val="22"/>
        </w:rPr>
        <w:t xml:space="preserve">deemed </w:t>
      </w:r>
      <w:r w:rsidRPr="008C299A">
        <w:rPr>
          <w:rFonts w:ascii="Calibri" w:hAnsi="Calibri"/>
          <w:sz w:val="22"/>
          <w:szCs w:val="22"/>
        </w:rPr>
        <w:t xml:space="preserve">to </w:t>
      </w:r>
      <w:r w:rsidR="002C2500">
        <w:rPr>
          <w:rFonts w:ascii="Calibri" w:hAnsi="Calibri"/>
          <w:sz w:val="22"/>
          <w:szCs w:val="22"/>
        </w:rPr>
        <w:t xml:space="preserve">have </w:t>
      </w:r>
      <w:r w:rsidRPr="008C299A">
        <w:rPr>
          <w:rFonts w:ascii="Calibri" w:hAnsi="Calibri"/>
          <w:sz w:val="22"/>
          <w:szCs w:val="22"/>
        </w:rPr>
        <w:t>agree</w:t>
      </w:r>
      <w:r w:rsidR="002C2500">
        <w:rPr>
          <w:rFonts w:ascii="Calibri" w:hAnsi="Calibri"/>
          <w:sz w:val="22"/>
          <w:szCs w:val="22"/>
        </w:rPr>
        <w:t>d</w:t>
      </w:r>
      <w:r w:rsidRPr="008C299A">
        <w:rPr>
          <w:rFonts w:ascii="Calibri" w:hAnsi="Calibri"/>
          <w:sz w:val="22"/>
          <w:szCs w:val="22"/>
        </w:rPr>
        <w:t xml:space="preserve"> with the rules outlined in this document.</w:t>
      </w:r>
    </w:p>
    <w:p w:rsidR="00D01908" w:rsidRPr="008C299A" w:rsidRDefault="00D01908" w:rsidP="00D01908">
      <w:pPr>
        <w:jc w:val="both"/>
        <w:rPr>
          <w:rFonts w:ascii="Calibri" w:hAnsi="Calibri"/>
          <w:sz w:val="22"/>
          <w:szCs w:val="22"/>
        </w:rPr>
      </w:pPr>
    </w:p>
    <w:p w:rsidR="00D01908" w:rsidRDefault="0034733E" w:rsidP="00D01908">
      <w:pPr>
        <w:jc w:val="both"/>
        <w:rPr>
          <w:rFonts w:ascii="Calibri" w:hAnsi="Calibri"/>
          <w:b/>
          <w:sz w:val="28"/>
          <w:szCs w:val="28"/>
        </w:rPr>
      </w:pPr>
      <w:r>
        <w:rPr>
          <w:rFonts w:ascii="Calibri" w:hAnsi="Calibri"/>
          <w:b/>
          <w:sz w:val="28"/>
          <w:szCs w:val="28"/>
        </w:rPr>
        <w:t>Use of f</w:t>
      </w:r>
      <w:r w:rsidR="00D01908" w:rsidRPr="009A4AE4">
        <w:rPr>
          <w:rFonts w:ascii="Calibri" w:hAnsi="Calibri"/>
          <w:b/>
          <w:sz w:val="28"/>
          <w:szCs w:val="28"/>
        </w:rPr>
        <w:t>eedback</w:t>
      </w:r>
    </w:p>
    <w:p w:rsidR="009A4AE4" w:rsidRPr="009A4AE4" w:rsidRDefault="009A4AE4" w:rsidP="00D01908">
      <w:pPr>
        <w:jc w:val="both"/>
        <w:rPr>
          <w:rFonts w:ascii="Calibri" w:hAnsi="Calibri"/>
          <w:b/>
          <w:sz w:val="22"/>
          <w:szCs w:val="22"/>
        </w:rPr>
      </w:pPr>
    </w:p>
    <w:p w:rsidR="00D01908" w:rsidRDefault="00D01908" w:rsidP="00D01908">
      <w:pPr>
        <w:jc w:val="both"/>
        <w:rPr>
          <w:rFonts w:ascii="Calibri" w:hAnsi="Calibri"/>
          <w:sz w:val="22"/>
          <w:szCs w:val="22"/>
        </w:rPr>
      </w:pPr>
      <w:r w:rsidRPr="008C299A">
        <w:rPr>
          <w:rFonts w:ascii="Calibri" w:hAnsi="Calibri"/>
          <w:sz w:val="22"/>
          <w:szCs w:val="22"/>
        </w:rPr>
        <w:t xml:space="preserve">Te Puni Kōkiri may use or incorporate any feedback, comments or other information provided by a respondent in connection with the market sounding in </w:t>
      </w:r>
      <w:r w:rsidR="00AB6502">
        <w:rPr>
          <w:rFonts w:ascii="Calibri" w:hAnsi="Calibri"/>
          <w:sz w:val="22"/>
          <w:szCs w:val="22"/>
        </w:rPr>
        <w:t xml:space="preserve">the </w:t>
      </w:r>
      <w:r w:rsidRPr="008C299A">
        <w:rPr>
          <w:rFonts w:ascii="Calibri" w:hAnsi="Calibri"/>
          <w:sz w:val="22"/>
          <w:szCs w:val="22"/>
        </w:rPr>
        <w:t>prepa</w:t>
      </w:r>
      <w:r w:rsidR="00AB6502">
        <w:rPr>
          <w:rFonts w:ascii="Calibri" w:hAnsi="Calibri"/>
          <w:sz w:val="22"/>
          <w:szCs w:val="22"/>
        </w:rPr>
        <w:t>ration of</w:t>
      </w:r>
      <w:r w:rsidRPr="008C299A">
        <w:rPr>
          <w:rFonts w:ascii="Calibri" w:hAnsi="Calibri"/>
          <w:sz w:val="22"/>
          <w:szCs w:val="22"/>
        </w:rPr>
        <w:t xml:space="preserve"> any report or other documentation in connection with the project.</w:t>
      </w:r>
    </w:p>
    <w:p w:rsidR="00AB6502" w:rsidRPr="008C299A" w:rsidRDefault="00AB6502" w:rsidP="00D01908">
      <w:pPr>
        <w:jc w:val="both"/>
        <w:rPr>
          <w:rFonts w:ascii="Calibri" w:hAnsi="Calibri"/>
          <w:sz w:val="22"/>
          <w:szCs w:val="22"/>
        </w:rPr>
      </w:pPr>
    </w:p>
    <w:p w:rsidR="00DC3349" w:rsidRDefault="00D01908" w:rsidP="00D01908">
      <w:pPr>
        <w:jc w:val="both"/>
        <w:rPr>
          <w:rFonts w:ascii="Calibri" w:hAnsi="Calibri"/>
          <w:sz w:val="22"/>
          <w:szCs w:val="22"/>
        </w:rPr>
      </w:pPr>
      <w:r w:rsidRPr="008C299A">
        <w:rPr>
          <w:rFonts w:ascii="Calibri" w:hAnsi="Calibri"/>
          <w:sz w:val="22"/>
          <w:szCs w:val="22"/>
        </w:rPr>
        <w:t>The use of information provided by respondents does not apply to commercial-in confidence material and/or proprietary information.</w:t>
      </w:r>
      <w:r w:rsidR="00AB6502">
        <w:rPr>
          <w:rFonts w:ascii="Calibri" w:hAnsi="Calibri"/>
          <w:sz w:val="22"/>
          <w:szCs w:val="22"/>
        </w:rPr>
        <w:t xml:space="preserve"> </w:t>
      </w:r>
    </w:p>
    <w:p w:rsidR="00DC3349" w:rsidRDefault="00DC3349" w:rsidP="00D01908">
      <w:pPr>
        <w:jc w:val="both"/>
        <w:rPr>
          <w:rFonts w:ascii="Calibri" w:hAnsi="Calibri"/>
          <w:sz w:val="22"/>
          <w:szCs w:val="22"/>
        </w:rPr>
      </w:pPr>
    </w:p>
    <w:p w:rsidR="00AB6502" w:rsidRDefault="00D01908" w:rsidP="00D01908">
      <w:pPr>
        <w:jc w:val="both"/>
        <w:rPr>
          <w:rFonts w:ascii="Calibri" w:hAnsi="Calibri"/>
          <w:sz w:val="22"/>
          <w:szCs w:val="22"/>
        </w:rPr>
      </w:pPr>
      <w:r w:rsidRPr="008C299A">
        <w:rPr>
          <w:rFonts w:ascii="Calibri" w:hAnsi="Calibri"/>
          <w:sz w:val="22"/>
          <w:szCs w:val="22"/>
        </w:rPr>
        <w:t xml:space="preserve">Respondents are to specify what portions, if any, of their response are commercial in-confidence and/or contain proprietary information. </w:t>
      </w:r>
    </w:p>
    <w:p w:rsidR="00AB6502" w:rsidRDefault="00AB6502" w:rsidP="00D01908">
      <w:pPr>
        <w:jc w:val="both"/>
        <w:rPr>
          <w:rFonts w:ascii="Calibri" w:hAnsi="Calibri"/>
          <w:sz w:val="22"/>
          <w:szCs w:val="22"/>
        </w:rPr>
      </w:pPr>
    </w:p>
    <w:p w:rsidR="00D01908" w:rsidRPr="008C299A" w:rsidRDefault="00D01908" w:rsidP="00D01908">
      <w:pPr>
        <w:jc w:val="both"/>
        <w:rPr>
          <w:rFonts w:ascii="Calibri" w:hAnsi="Calibri"/>
          <w:sz w:val="22"/>
          <w:szCs w:val="22"/>
        </w:rPr>
      </w:pPr>
      <w:r w:rsidRPr="008C299A">
        <w:rPr>
          <w:rFonts w:ascii="Calibri" w:hAnsi="Calibri"/>
          <w:sz w:val="22"/>
          <w:szCs w:val="22"/>
        </w:rPr>
        <w:t xml:space="preserve">Te Puni Kōkiri will not use or disclose any of this information without the written permission of the respondent </w:t>
      </w:r>
      <w:r w:rsidR="00AB6502">
        <w:rPr>
          <w:rFonts w:ascii="Calibri" w:hAnsi="Calibri"/>
          <w:sz w:val="22"/>
          <w:szCs w:val="22"/>
        </w:rPr>
        <w:t>unless required by law</w:t>
      </w:r>
      <w:r w:rsidRPr="008C299A">
        <w:rPr>
          <w:rFonts w:ascii="Calibri" w:hAnsi="Calibri"/>
          <w:sz w:val="22"/>
          <w:szCs w:val="22"/>
        </w:rPr>
        <w:t>.</w:t>
      </w:r>
    </w:p>
    <w:p w:rsidR="00D01908" w:rsidRPr="008C299A" w:rsidRDefault="00D01908" w:rsidP="00D01908">
      <w:pPr>
        <w:jc w:val="both"/>
        <w:rPr>
          <w:rFonts w:ascii="Calibri" w:hAnsi="Calibri"/>
          <w:sz w:val="22"/>
          <w:szCs w:val="22"/>
        </w:rPr>
      </w:pPr>
    </w:p>
    <w:p w:rsidR="00D01908" w:rsidRDefault="0034733E" w:rsidP="00D01908">
      <w:pPr>
        <w:jc w:val="both"/>
        <w:rPr>
          <w:rFonts w:ascii="Calibri" w:hAnsi="Calibri"/>
          <w:b/>
          <w:sz w:val="28"/>
          <w:szCs w:val="28"/>
        </w:rPr>
      </w:pPr>
      <w:r>
        <w:rPr>
          <w:rFonts w:ascii="Calibri" w:hAnsi="Calibri"/>
          <w:b/>
          <w:sz w:val="28"/>
          <w:szCs w:val="28"/>
        </w:rPr>
        <w:t>Changes to the market s</w:t>
      </w:r>
      <w:r w:rsidR="00D01908" w:rsidRPr="00AB6502">
        <w:rPr>
          <w:rFonts w:ascii="Calibri" w:hAnsi="Calibri"/>
          <w:b/>
          <w:sz w:val="28"/>
          <w:szCs w:val="28"/>
        </w:rPr>
        <w:t>ounding</w:t>
      </w:r>
    </w:p>
    <w:p w:rsidR="00AB6502" w:rsidRPr="00AB6502" w:rsidRDefault="00AB6502" w:rsidP="00D01908">
      <w:pPr>
        <w:jc w:val="both"/>
        <w:rPr>
          <w:rFonts w:ascii="Calibri" w:hAnsi="Calibri"/>
          <w:b/>
          <w:sz w:val="22"/>
          <w:szCs w:val="22"/>
        </w:rPr>
      </w:pPr>
    </w:p>
    <w:p w:rsidR="00DC3349" w:rsidRDefault="00D01908" w:rsidP="00D01908">
      <w:pPr>
        <w:jc w:val="both"/>
        <w:rPr>
          <w:rFonts w:ascii="Calibri" w:hAnsi="Calibri"/>
          <w:sz w:val="22"/>
          <w:szCs w:val="22"/>
        </w:rPr>
      </w:pPr>
      <w:r w:rsidRPr="008C299A">
        <w:rPr>
          <w:rFonts w:ascii="Calibri" w:hAnsi="Calibri"/>
          <w:sz w:val="22"/>
          <w:szCs w:val="22"/>
        </w:rPr>
        <w:t xml:space="preserve">Te Puni Kōkiri may amend this document or the conduct of the market sounding at any time. </w:t>
      </w:r>
    </w:p>
    <w:p w:rsidR="00DC3349" w:rsidRDefault="00DC3349" w:rsidP="00D01908">
      <w:pPr>
        <w:jc w:val="both"/>
        <w:rPr>
          <w:rFonts w:ascii="Calibri" w:hAnsi="Calibri"/>
          <w:sz w:val="22"/>
          <w:szCs w:val="22"/>
        </w:rPr>
      </w:pPr>
    </w:p>
    <w:p w:rsidR="00D01908" w:rsidRPr="008C299A" w:rsidRDefault="00D01908" w:rsidP="00D01908">
      <w:pPr>
        <w:jc w:val="both"/>
        <w:rPr>
          <w:rFonts w:ascii="Calibri" w:hAnsi="Calibri"/>
          <w:sz w:val="22"/>
          <w:szCs w:val="22"/>
        </w:rPr>
      </w:pPr>
      <w:r w:rsidRPr="008C299A">
        <w:rPr>
          <w:rFonts w:ascii="Calibri" w:hAnsi="Calibri"/>
          <w:sz w:val="22"/>
          <w:szCs w:val="22"/>
        </w:rPr>
        <w:t>Any such amendment will be issued to those respondents that have completed and submitted the Market Sounding Questionnaire.</w:t>
      </w:r>
    </w:p>
    <w:p w:rsidR="00D01908" w:rsidRPr="008C299A" w:rsidRDefault="00D01908" w:rsidP="00D01908">
      <w:pPr>
        <w:jc w:val="both"/>
        <w:rPr>
          <w:rFonts w:ascii="Calibri" w:hAnsi="Calibri"/>
          <w:sz w:val="22"/>
          <w:szCs w:val="22"/>
        </w:rPr>
      </w:pPr>
    </w:p>
    <w:p w:rsidR="00D01908" w:rsidRPr="00DC3349" w:rsidRDefault="00D01908" w:rsidP="00D01908">
      <w:pPr>
        <w:jc w:val="both"/>
        <w:rPr>
          <w:rFonts w:ascii="Calibri" w:hAnsi="Calibri"/>
          <w:b/>
          <w:sz w:val="28"/>
          <w:szCs w:val="28"/>
        </w:rPr>
      </w:pPr>
      <w:r w:rsidRPr="00DC3349">
        <w:rPr>
          <w:rFonts w:ascii="Calibri" w:hAnsi="Calibri"/>
          <w:b/>
          <w:sz w:val="28"/>
          <w:szCs w:val="28"/>
        </w:rPr>
        <w:t>Costs</w:t>
      </w:r>
    </w:p>
    <w:p w:rsidR="00DC3349" w:rsidRDefault="00DC3349" w:rsidP="00D01908">
      <w:pPr>
        <w:jc w:val="both"/>
        <w:rPr>
          <w:rFonts w:ascii="Calibri" w:hAnsi="Calibri"/>
          <w:sz w:val="22"/>
          <w:szCs w:val="22"/>
        </w:rPr>
      </w:pPr>
    </w:p>
    <w:p w:rsidR="00D01908" w:rsidRPr="008C299A" w:rsidRDefault="00D01908" w:rsidP="00D01908">
      <w:pPr>
        <w:jc w:val="both"/>
        <w:rPr>
          <w:rFonts w:ascii="Calibri" w:hAnsi="Calibri"/>
          <w:sz w:val="22"/>
          <w:szCs w:val="22"/>
        </w:rPr>
      </w:pPr>
      <w:r w:rsidRPr="008C299A">
        <w:rPr>
          <w:rFonts w:ascii="Calibri" w:hAnsi="Calibri"/>
          <w:sz w:val="22"/>
          <w:szCs w:val="22"/>
        </w:rPr>
        <w:t>Each respondent is responsible for its own costs in parti</w:t>
      </w:r>
      <w:r w:rsidR="00DC3349">
        <w:rPr>
          <w:rFonts w:ascii="Calibri" w:hAnsi="Calibri"/>
          <w:sz w:val="22"/>
          <w:szCs w:val="22"/>
        </w:rPr>
        <w:t>cipating in the market sounding</w:t>
      </w:r>
      <w:r w:rsidRPr="008C299A">
        <w:rPr>
          <w:rFonts w:ascii="Calibri" w:hAnsi="Calibri"/>
          <w:sz w:val="22"/>
          <w:szCs w:val="22"/>
        </w:rPr>
        <w:t xml:space="preserve"> including attend</w:t>
      </w:r>
      <w:r w:rsidR="00DC3349">
        <w:rPr>
          <w:rFonts w:ascii="Calibri" w:hAnsi="Calibri"/>
          <w:sz w:val="22"/>
          <w:szCs w:val="22"/>
        </w:rPr>
        <w:t xml:space="preserve">ance at </w:t>
      </w:r>
      <w:r w:rsidRPr="008C299A">
        <w:rPr>
          <w:rFonts w:ascii="Calibri" w:hAnsi="Calibri"/>
          <w:sz w:val="22"/>
          <w:szCs w:val="22"/>
        </w:rPr>
        <w:t>any meeting at the invitation of Te Puni Kōkiri.</w:t>
      </w:r>
    </w:p>
    <w:p w:rsidR="00D01908" w:rsidRPr="008C299A" w:rsidRDefault="00D01908" w:rsidP="00D01908">
      <w:pPr>
        <w:jc w:val="both"/>
        <w:rPr>
          <w:rFonts w:ascii="Calibri" w:hAnsi="Calibri"/>
          <w:sz w:val="22"/>
          <w:szCs w:val="22"/>
        </w:rPr>
      </w:pPr>
    </w:p>
    <w:p w:rsidR="00D01908" w:rsidRDefault="00D01908" w:rsidP="00D01908">
      <w:pPr>
        <w:jc w:val="both"/>
        <w:rPr>
          <w:rFonts w:ascii="Calibri" w:hAnsi="Calibri"/>
          <w:b/>
          <w:sz w:val="28"/>
          <w:szCs w:val="28"/>
        </w:rPr>
      </w:pPr>
      <w:r w:rsidRPr="00DC3349">
        <w:rPr>
          <w:rFonts w:ascii="Calibri" w:hAnsi="Calibri"/>
          <w:b/>
          <w:sz w:val="28"/>
          <w:szCs w:val="28"/>
        </w:rPr>
        <w:t xml:space="preserve">No </w:t>
      </w:r>
      <w:r w:rsidR="0034733E">
        <w:rPr>
          <w:rFonts w:ascii="Calibri" w:hAnsi="Calibri"/>
          <w:b/>
          <w:sz w:val="28"/>
          <w:szCs w:val="28"/>
        </w:rPr>
        <w:t>l</w:t>
      </w:r>
      <w:r w:rsidR="00DC3349" w:rsidRPr="00DC3349">
        <w:rPr>
          <w:rFonts w:ascii="Calibri" w:hAnsi="Calibri"/>
          <w:b/>
          <w:sz w:val="28"/>
          <w:szCs w:val="28"/>
        </w:rPr>
        <w:t>iability</w:t>
      </w:r>
    </w:p>
    <w:p w:rsidR="00DC3349" w:rsidRPr="00DC3349" w:rsidRDefault="00DC3349" w:rsidP="00D01908">
      <w:pPr>
        <w:jc w:val="both"/>
        <w:rPr>
          <w:rFonts w:ascii="Calibri" w:hAnsi="Calibri"/>
          <w:b/>
          <w:sz w:val="28"/>
          <w:szCs w:val="28"/>
        </w:rPr>
      </w:pPr>
    </w:p>
    <w:p w:rsidR="00D01908" w:rsidRDefault="00D01908" w:rsidP="00D01908">
      <w:pPr>
        <w:jc w:val="both"/>
        <w:rPr>
          <w:rFonts w:ascii="Calibri" w:hAnsi="Calibri"/>
          <w:sz w:val="22"/>
          <w:szCs w:val="22"/>
        </w:rPr>
      </w:pPr>
      <w:r w:rsidRPr="008C299A">
        <w:rPr>
          <w:rFonts w:ascii="Calibri" w:hAnsi="Calibri"/>
          <w:sz w:val="22"/>
          <w:szCs w:val="22"/>
        </w:rPr>
        <w:t>In no circumstances will Te Puni Kōkiri or any of its employees, agents or advisors be liable to a respondent for any costs, losses, expenses or damages incurred or suffered by the respondent.</w:t>
      </w:r>
    </w:p>
    <w:p w:rsidR="00DC3349" w:rsidRPr="008C299A" w:rsidRDefault="00DC3349" w:rsidP="00D01908">
      <w:pPr>
        <w:jc w:val="both"/>
        <w:rPr>
          <w:rFonts w:ascii="Calibri" w:hAnsi="Calibri"/>
          <w:sz w:val="22"/>
          <w:szCs w:val="22"/>
        </w:rPr>
      </w:pPr>
    </w:p>
    <w:p w:rsidR="00D01908" w:rsidRPr="003942C2" w:rsidRDefault="00D01908" w:rsidP="00D01908">
      <w:pPr>
        <w:jc w:val="both"/>
        <w:rPr>
          <w:rFonts w:ascii="Calibri" w:hAnsi="Calibri"/>
          <w:b/>
          <w:sz w:val="22"/>
          <w:szCs w:val="22"/>
        </w:rPr>
      </w:pPr>
      <w:r w:rsidRPr="008C299A">
        <w:rPr>
          <w:rFonts w:ascii="Calibri" w:hAnsi="Calibri"/>
          <w:sz w:val="22"/>
          <w:szCs w:val="22"/>
        </w:rPr>
        <w:t>By participating in this market sounding, each respondent acknowledges that neither Te Puni Kōkiri nor the respondent intends to create any contract or other legal relationship.</w:t>
      </w:r>
    </w:p>
    <w:p w:rsidR="00D01908" w:rsidRDefault="00D01908">
      <w:pPr>
        <w:rPr>
          <w:rFonts w:ascii="Calibri" w:hAnsi="Calibri" w:cs="Arial"/>
          <w:b/>
          <w:noProof/>
          <w:sz w:val="36"/>
          <w:szCs w:val="36"/>
          <w:lang w:eastAsia="en-NZ"/>
        </w:rPr>
      </w:pPr>
      <w:r>
        <w:rPr>
          <w:rFonts w:ascii="Calibri" w:hAnsi="Calibri" w:cs="Arial"/>
          <w:b/>
          <w:noProof/>
          <w:sz w:val="36"/>
          <w:szCs w:val="36"/>
          <w:lang w:eastAsia="en-NZ"/>
        </w:rPr>
        <w:br w:type="page"/>
      </w:r>
    </w:p>
    <w:p w:rsidR="005560BA" w:rsidRPr="002874CC" w:rsidRDefault="005560BA" w:rsidP="00F70BF8">
      <w:pPr>
        <w:jc w:val="both"/>
        <w:rPr>
          <w:rFonts w:ascii="Calibri" w:hAnsi="Calibri" w:cs="Arial"/>
          <w:b/>
          <w:sz w:val="36"/>
          <w:szCs w:val="36"/>
        </w:rPr>
      </w:pPr>
      <w:r w:rsidRPr="002874CC">
        <w:rPr>
          <w:rFonts w:ascii="Calibri" w:hAnsi="Calibri" w:cs="Arial"/>
          <w:b/>
          <w:noProof/>
          <w:sz w:val="36"/>
          <w:szCs w:val="36"/>
          <w:lang w:eastAsia="en-NZ"/>
        </w:rPr>
        <w:lastRenderedPageBreak/>
        <w:drawing>
          <wp:anchor distT="0" distB="0" distL="114300" distR="114300" simplePos="0" relativeHeight="251663360" behindDoc="0" locked="0" layoutInCell="1" allowOverlap="1">
            <wp:simplePos x="0" y="0"/>
            <wp:positionH relativeFrom="margin">
              <wp:posOffset>4977130</wp:posOffset>
            </wp:positionH>
            <wp:positionV relativeFrom="margin">
              <wp:posOffset>-347345</wp:posOffset>
            </wp:positionV>
            <wp:extent cx="1123315" cy="977265"/>
            <wp:effectExtent l="19050" t="0" r="635" b="0"/>
            <wp:wrapSquare wrapText="bothSides"/>
            <wp:docPr id="2" name="Picture 3" descr="C:\Documents and Settings\bidov\Desktop\Whanau o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bidov\Desktop\Whanau ora logo.jpg"/>
                    <pic:cNvPicPr>
                      <a:picLocks noChangeAspect="1" noChangeArrowheads="1"/>
                    </pic:cNvPicPr>
                  </pic:nvPicPr>
                  <pic:blipFill>
                    <a:blip r:embed="rId8" cstate="print"/>
                    <a:srcRect/>
                    <a:stretch>
                      <a:fillRect/>
                    </a:stretch>
                  </pic:blipFill>
                  <pic:spPr bwMode="auto">
                    <a:xfrm>
                      <a:off x="0" y="0"/>
                      <a:ext cx="1123315" cy="977265"/>
                    </a:xfrm>
                    <a:prstGeom prst="rect">
                      <a:avLst/>
                    </a:prstGeom>
                    <a:noFill/>
                    <a:ln w="9525">
                      <a:noFill/>
                      <a:miter lim="800000"/>
                      <a:headEnd/>
                      <a:tailEnd/>
                    </a:ln>
                  </pic:spPr>
                </pic:pic>
              </a:graphicData>
            </a:graphic>
          </wp:anchor>
        </w:drawing>
      </w:r>
      <w:r w:rsidR="00311298">
        <w:rPr>
          <w:rFonts w:ascii="Calibri" w:hAnsi="Calibri" w:cs="Arial"/>
          <w:b/>
          <w:noProof/>
          <w:sz w:val="36"/>
          <w:szCs w:val="36"/>
          <w:lang w:eastAsia="en-NZ"/>
        </w:rPr>
        <w:t>SCHEDULE 2</w:t>
      </w:r>
    </w:p>
    <w:p w:rsidR="005560BA" w:rsidRDefault="005560BA" w:rsidP="00F70BF8">
      <w:pPr>
        <w:pStyle w:val="Style1"/>
        <w:spacing w:after="0" w:line="240" w:lineRule="auto"/>
        <w:rPr>
          <w:rFonts w:asciiTheme="minorHAnsi" w:hAnsiTheme="minorHAnsi"/>
          <w:color w:val="auto"/>
          <w:sz w:val="32"/>
          <w:szCs w:val="32"/>
        </w:rPr>
      </w:pPr>
      <w:r>
        <w:rPr>
          <w:rFonts w:asciiTheme="minorHAnsi" w:hAnsiTheme="minorHAnsi"/>
          <w:color w:val="auto"/>
          <w:sz w:val="32"/>
          <w:szCs w:val="32"/>
        </w:rPr>
        <w:t>Market Sounding Questionnaire</w:t>
      </w:r>
    </w:p>
    <w:p w:rsidR="005560BA" w:rsidRDefault="005560BA" w:rsidP="00F70BF8">
      <w:pPr>
        <w:jc w:val="both"/>
        <w:rPr>
          <w:rFonts w:ascii="Calibri" w:hAnsi="Calibri"/>
          <w:sz w:val="16"/>
          <w:szCs w:val="16"/>
        </w:rPr>
      </w:pPr>
    </w:p>
    <w:p w:rsidR="005560BA" w:rsidRPr="002A7E80" w:rsidRDefault="00F82028" w:rsidP="00F70BF8">
      <w:pPr>
        <w:jc w:val="both"/>
        <w:rPr>
          <w:rFonts w:ascii="Calibri" w:hAnsi="Calibri" w:cs="Arial"/>
          <w:b/>
          <w:sz w:val="16"/>
          <w:szCs w:val="16"/>
        </w:rPr>
      </w:pPr>
      <w:r>
        <w:rPr>
          <w:rFonts w:ascii="Calibri" w:hAnsi="Calibri"/>
          <w:sz w:val="16"/>
          <w:szCs w:val="16"/>
        </w:rPr>
        <w:pict>
          <v:rect id="_x0000_i1027" style="width:415.65pt;height:1.5pt" o:hralign="center" o:hrstd="t" o:hr="t" fillcolor="#aca899" stroked="f"/>
        </w:pict>
      </w:r>
    </w:p>
    <w:p w:rsidR="005560BA" w:rsidRPr="00F04D06" w:rsidRDefault="005560BA" w:rsidP="00F70BF8">
      <w:pPr>
        <w:pStyle w:val="ListParagraph"/>
        <w:ind w:left="360"/>
        <w:contextualSpacing w:val="0"/>
        <w:jc w:val="both"/>
        <w:rPr>
          <w:rFonts w:ascii="Calibri" w:hAnsi="Calibri"/>
          <w:sz w:val="16"/>
          <w:szCs w:val="16"/>
        </w:rPr>
      </w:pPr>
    </w:p>
    <w:p w:rsidR="005560BA" w:rsidRPr="00C31B8F" w:rsidRDefault="005560BA" w:rsidP="00F70BF8">
      <w:pPr>
        <w:jc w:val="both"/>
        <w:rPr>
          <w:rFonts w:ascii="Calibri" w:hAnsi="Calibri"/>
          <w:sz w:val="22"/>
          <w:szCs w:val="22"/>
        </w:rPr>
      </w:pPr>
      <w:r w:rsidRPr="00C31B8F">
        <w:rPr>
          <w:rFonts w:ascii="Calibri" w:hAnsi="Calibri"/>
          <w:sz w:val="22"/>
          <w:szCs w:val="22"/>
        </w:rPr>
        <w:t xml:space="preserve">This form should be completed by organisations that are interested in participating in the procurement process for </w:t>
      </w:r>
      <w:r>
        <w:rPr>
          <w:rFonts w:ascii="Calibri" w:hAnsi="Calibri"/>
          <w:sz w:val="22"/>
          <w:szCs w:val="22"/>
        </w:rPr>
        <w:t xml:space="preserve">the </w:t>
      </w:r>
      <w:r w:rsidRPr="00C31B8F">
        <w:rPr>
          <w:rFonts w:ascii="Calibri" w:hAnsi="Calibri"/>
          <w:sz w:val="22"/>
          <w:szCs w:val="22"/>
        </w:rPr>
        <w:t>Whānau Ora commissioning agencies.</w:t>
      </w:r>
    </w:p>
    <w:p w:rsidR="005560BA" w:rsidRPr="00C31B8F" w:rsidRDefault="005560BA" w:rsidP="00F70BF8">
      <w:pPr>
        <w:jc w:val="both"/>
        <w:rPr>
          <w:rFonts w:ascii="Calibri" w:hAnsi="Calibri"/>
          <w:sz w:val="22"/>
          <w:szCs w:val="22"/>
        </w:rPr>
      </w:pPr>
    </w:p>
    <w:p w:rsidR="005560BA" w:rsidRPr="002910C1" w:rsidRDefault="005560BA" w:rsidP="00F70BF8">
      <w:pPr>
        <w:jc w:val="both"/>
        <w:rPr>
          <w:rFonts w:ascii="Calibri" w:hAnsi="Calibri"/>
          <w:b/>
          <w:sz w:val="28"/>
          <w:szCs w:val="28"/>
        </w:rPr>
      </w:pPr>
      <w:r w:rsidRPr="002910C1">
        <w:rPr>
          <w:rFonts w:ascii="Calibri" w:hAnsi="Calibri"/>
          <w:b/>
          <w:sz w:val="28"/>
          <w:szCs w:val="28"/>
        </w:rPr>
        <w:t>Introduction</w:t>
      </w:r>
    </w:p>
    <w:p w:rsidR="005560BA" w:rsidRPr="005560BA" w:rsidRDefault="005560BA" w:rsidP="00F70BF8">
      <w:pPr>
        <w:jc w:val="both"/>
        <w:rPr>
          <w:rFonts w:ascii="Calibri" w:hAnsi="Calibri"/>
        </w:rPr>
      </w:pPr>
    </w:p>
    <w:p w:rsidR="005560BA" w:rsidRDefault="005560BA" w:rsidP="00F70BF8">
      <w:pPr>
        <w:jc w:val="both"/>
        <w:rPr>
          <w:rFonts w:ascii="Calibri" w:hAnsi="Calibri"/>
          <w:sz w:val="22"/>
          <w:szCs w:val="22"/>
        </w:rPr>
      </w:pPr>
      <w:r w:rsidRPr="00C31B8F">
        <w:rPr>
          <w:rFonts w:ascii="Calibri" w:hAnsi="Calibri"/>
          <w:sz w:val="22"/>
          <w:szCs w:val="22"/>
        </w:rPr>
        <w:t xml:space="preserve">The purpose of this market sounding process is to test the level of market interest </w:t>
      </w:r>
      <w:r w:rsidR="000145C5">
        <w:rPr>
          <w:rFonts w:ascii="Calibri" w:hAnsi="Calibri"/>
          <w:sz w:val="22"/>
          <w:szCs w:val="22"/>
        </w:rPr>
        <w:t>i</w:t>
      </w:r>
      <w:r w:rsidR="008408D9">
        <w:rPr>
          <w:rFonts w:ascii="Calibri" w:hAnsi="Calibri"/>
          <w:sz w:val="22"/>
          <w:szCs w:val="22"/>
        </w:rPr>
        <w:t>n commissioning.</w:t>
      </w:r>
    </w:p>
    <w:p w:rsidR="005560BA" w:rsidRDefault="005560BA" w:rsidP="00F70BF8">
      <w:pPr>
        <w:jc w:val="both"/>
        <w:rPr>
          <w:rFonts w:ascii="Calibri" w:hAnsi="Calibri"/>
          <w:sz w:val="22"/>
          <w:szCs w:val="22"/>
        </w:rPr>
      </w:pPr>
    </w:p>
    <w:p w:rsidR="005560BA" w:rsidRPr="00C31B8F" w:rsidRDefault="005560BA" w:rsidP="00F70BF8">
      <w:pPr>
        <w:jc w:val="both"/>
        <w:rPr>
          <w:rFonts w:ascii="Calibri" w:hAnsi="Calibri"/>
          <w:sz w:val="22"/>
          <w:szCs w:val="22"/>
        </w:rPr>
      </w:pPr>
      <w:r w:rsidRPr="00C31B8F">
        <w:rPr>
          <w:rFonts w:ascii="Calibri" w:hAnsi="Calibri"/>
          <w:sz w:val="22"/>
          <w:szCs w:val="22"/>
        </w:rPr>
        <w:t>The market sounding will inform the design of the procurement process to ensure it is as efficient and robust as possible.</w:t>
      </w:r>
    </w:p>
    <w:p w:rsidR="005560BA" w:rsidRPr="00C31B8F" w:rsidRDefault="005560BA" w:rsidP="00F70BF8">
      <w:pPr>
        <w:jc w:val="both"/>
        <w:rPr>
          <w:rFonts w:ascii="Calibri" w:hAnsi="Calibri"/>
          <w:sz w:val="22"/>
          <w:szCs w:val="22"/>
        </w:rPr>
      </w:pPr>
    </w:p>
    <w:p w:rsidR="005560BA" w:rsidRPr="002910C1" w:rsidRDefault="002C2500" w:rsidP="00F70BF8">
      <w:pPr>
        <w:jc w:val="both"/>
        <w:rPr>
          <w:rFonts w:ascii="Calibri" w:hAnsi="Calibri"/>
          <w:b/>
          <w:sz w:val="28"/>
          <w:szCs w:val="28"/>
        </w:rPr>
      </w:pPr>
      <w:r>
        <w:rPr>
          <w:rFonts w:ascii="Calibri" w:hAnsi="Calibri"/>
          <w:b/>
          <w:sz w:val="28"/>
          <w:szCs w:val="28"/>
        </w:rPr>
        <w:t>Clarifications and i</w:t>
      </w:r>
      <w:r w:rsidR="005560BA" w:rsidRPr="002910C1">
        <w:rPr>
          <w:rFonts w:ascii="Calibri" w:hAnsi="Calibri"/>
          <w:b/>
          <w:sz w:val="28"/>
          <w:szCs w:val="28"/>
        </w:rPr>
        <w:t>nquiries</w:t>
      </w:r>
    </w:p>
    <w:p w:rsidR="005560BA" w:rsidRDefault="005560BA" w:rsidP="00F70BF8">
      <w:pPr>
        <w:jc w:val="both"/>
        <w:rPr>
          <w:rFonts w:ascii="Calibri" w:hAnsi="Calibri"/>
          <w:sz w:val="22"/>
          <w:szCs w:val="22"/>
        </w:rPr>
      </w:pPr>
    </w:p>
    <w:p w:rsidR="005560BA" w:rsidRPr="00343C39" w:rsidRDefault="005560BA" w:rsidP="00F70BF8">
      <w:pPr>
        <w:pStyle w:val="ListParagraph"/>
        <w:numPr>
          <w:ilvl w:val="0"/>
          <w:numId w:val="20"/>
        </w:numPr>
        <w:jc w:val="both"/>
        <w:rPr>
          <w:rFonts w:ascii="Calibri" w:hAnsi="Calibri"/>
          <w:sz w:val="22"/>
          <w:szCs w:val="22"/>
        </w:rPr>
      </w:pPr>
      <w:r w:rsidRPr="00343C39">
        <w:rPr>
          <w:rFonts w:ascii="Calibri" w:hAnsi="Calibri"/>
          <w:sz w:val="22"/>
          <w:szCs w:val="22"/>
        </w:rPr>
        <w:t>Any</w:t>
      </w:r>
      <w:r w:rsidR="002C2500">
        <w:rPr>
          <w:rFonts w:ascii="Calibri" w:hAnsi="Calibri"/>
          <w:sz w:val="22"/>
          <w:szCs w:val="22"/>
        </w:rPr>
        <w:t xml:space="preserve"> requests for clarification or i</w:t>
      </w:r>
      <w:r w:rsidRPr="00343C39">
        <w:rPr>
          <w:rFonts w:ascii="Calibri" w:hAnsi="Calibri"/>
          <w:sz w:val="22"/>
          <w:szCs w:val="22"/>
        </w:rPr>
        <w:t>nquiries should be submitted t</w:t>
      </w:r>
      <w:r>
        <w:rPr>
          <w:rFonts w:ascii="Calibri" w:hAnsi="Calibri"/>
          <w:sz w:val="22"/>
          <w:szCs w:val="22"/>
        </w:rPr>
        <w:t>o the dedicated email address: wha</w:t>
      </w:r>
      <w:r w:rsidRPr="00343C39">
        <w:rPr>
          <w:rFonts w:ascii="Calibri" w:hAnsi="Calibri"/>
          <w:sz w:val="22"/>
          <w:szCs w:val="22"/>
        </w:rPr>
        <w:t>nauoracommissioning@tpk.govt.nz</w:t>
      </w:r>
    </w:p>
    <w:p w:rsidR="005560BA" w:rsidRDefault="005560BA" w:rsidP="00F70BF8">
      <w:pPr>
        <w:jc w:val="both"/>
        <w:rPr>
          <w:rFonts w:ascii="Calibri" w:hAnsi="Calibri"/>
          <w:sz w:val="22"/>
          <w:szCs w:val="22"/>
        </w:rPr>
      </w:pPr>
    </w:p>
    <w:p w:rsidR="005560BA" w:rsidRDefault="002C2500" w:rsidP="00F70BF8">
      <w:pPr>
        <w:pStyle w:val="ListParagraph"/>
        <w:numPr>
          <w:ilvl w:val="0"/>
          <w:numId w:val="20"/>
        </w:numPr>
        <w:jc w:val="both"/>
        <w:rPr>
          <w:rFonts w:ascii="Calibri" w:hAnsi="Calibri"/>
          <w:sz w:val="22"/>
          <w:szCs w:val="22"/>
        </w:rPr>
      </w:pPr>
      <w:r>
        <w:rPr>
          <w:rFonts w:ascii="Calibri" w:hAnsi="Calibri"/>
          <w:sz w:val="22"/>
          <w:szCs w:val="22"/>
        </w:rPr>
        <w:t>I</w:t>
      </w:r>
      <w:r w:rsidR="005560BA" w:rsidRPr="00343C39">
        <w:rPr>
          <w:rFonts w:ascii="Calibri" w:hAnsi="Calibri"/>
          <w:sz w:val="22"/>
          <w:szCs w:val="22"/>
        </w:rPr>
        <w:t>nquiries in any other format will not be accepted.</w:t>
      </w:r>
    </w:p>
    <w:p w:rsidR="005560BA" w:rsidRPr="00343C39" w:rsidRDefault="005560BA" w:rsidP="00F70BF8">
      <w:pPr>
        <w:pStyle w:val="ListParagraph"/>
        <w:jc w:val="both"/>
        <w:rPr>
          <w:rFonts w:ascii="Calibri" w:hAnsi="Calibri"/>
          <w:sz w:val="22"/>
          <w:szCs w:val="22"/>
        </w:rPr>
      </w:pPr>
    </w:p>
    <w:p w:rsidR="005560BA" w:rsidRDefault="005560BA" w:rsidP="00F70BF8">
      <w:pPr>
        <w:pStyle w:val="ListParagraph"/>
        <w:numPr>
          <w:ilvl w:val="0"/>
          <w:numId w:val="20"/>
        </w:numPr>
        <w:jc w:val="both"/>
        <w:rPr>
          <w:rFonts w:ascii="Calibri" w:hAnsi="Calibri"/>
          <w:sz w:val="22"/>
          <w:szCs w:val="22"/>
        </w:rPr>
      </w:pPr>
      <w:r w:rsidRPr="00343C39">
        <w:rPr>
          <w:rFonts w:ascii="Calibri" w:hAnsi="Calibri"/>
          <w:sz w:val="22"/>
          <w:szCs w:val="22"/>
        </w:rPr>
        <w:t>Parties must make it clear on behalf of which organ</w:t>
      </w:r>
      <w:r w:rsidR="002C2500">
        <w:rPr>
          <w:rFonts w:ascii="Calibri" w:hAnsi="Calibri"/>
          <w:sz w:val="22"/>
          <w:szCs w:val="22"/>
        </w:rPr>
        <w:t>isation they are submitting an i</w:t>
      </w:r>
      <w:r w:rsidRPr="00343C39">
        <w:rPr>
          <w:rFonts w:ascii="Calibri" w:hAnsi="Calibri"/>
          <w:sz w:val="22"/>
          <w:szCs w:val="22"/>
        </w:rPr>
        <w:t>nquiry.</w:t>
      </w:r>
    </w:p>
    <w:p w:rsidR="005560BA" w:rsidRPr="00343C39" w:rsidRDefault="005560BA" w:rsidP="00F70BF8">
      <w:pPr>
        <w:pStyle w:val="ListParagraph"/>
        <w:jc w:val="both"/>
        <w:rPr>
          <w:rFonts w:ascii="Calibri" w:hAnsi="Calibri"/>
          <w:sz w:val="22"/>
          <w:szCs w:val="22"/>
        </w:rPr>
      </w:pPr>
    </w:p>
    <w:p w:rsidR="005560BA" w:rsidRPr="00343C39" w:rsidRDefault="002C2500" w:rsidP="00F70BF8">
      <w:pPr>
        <w:pStyle w:val="ListParagraph"/>
        <w:numPr>
          <w:ilvl w:val="0"/>
          <w:numId w:val="20"/>
        </w:numPr>
        <w:jc w:val="both"/>
        <w:rPr>
          <w:rFonts w:ascii="Calibri" w:hAnsi="Calibri"/>
          <w:sz w:val="22"/>
          <w:szCs w:val="22"/>
        </w:rPr>
      </w:pPr>
      <w:r>
        <w:rPr>
          <w:rFonts w:ascii="Calibri" w:hAnsi="Calibri"/>
          <w:sz w:val="22"/>
          <w:szCs w:val="22"/>
        </w:rPr>
        <w:t>Responses to general i</w:t>
      </w:r>
      <w:r w:rsidR="005560BA" w:rsidRPr="00343C39">
        <w:rPr>
          <w:rFonts w:ascii="Calibri" w:hAnsi="Calibri"/>
          <w:sz w:val="22"/>
          <w:szCs w:val="22"/>
        </w:rPr>
        <w:t>nquiries will be made available to all respondents via the website</w:t>
      </w:r>
      <w:r w:rsidR="005560BA">
        <w:rPr>
          <w:rFonts w:ascii="Calibri" w:hAnsi="Calibri"/>
          <w:sz w:val="22"/>
          <w:szCs w:val="22"/>
        </w:rPr>
        <w:t xml:space="preserve"> of </w:t>
      </w:r>
      <w:r w:rsidR="005560BA" w:rsidRPr="00343C39">
        <w:rPr>
          <w:rFonts w:ascii="Calibri" w:hAnsi="Calibri"/>
          <w:sz w:val="22"/>
          <w:szCs w:val="22"/>
        </w:rPr>
        <w:t>T</w:t>
      </w:r>
      <w:r w:rsidR="005560BA">
        <w:rPr>
          <w:rFonts w:ascii="Calibri" w:hAnsi="Calibri"/>
          <w:sz w:val="22"/>
          <w:szCs w:val="22"/>
        </w:rPr>
        <w:t xml:space="preserve">e </w:t>
      </w:r>
      <w:r w:rsidR="005560BA" w:rsidRPr="00343C39">
        <w:rPr>
          <w:rFonts w:ascii="Calibri" w:hAnsi="Calibri"/>
          <w:sz w:val="22"/>
          <w:szCs w:val="22"/>
        </w:rPr>
        <w:t>P</w:t>
      </w:r>
      <w:r w:rsidR="005560BA">
        <w:rPr>
          <w:rFonts w:ascii="Calibri" w:hAnsi="Calibri"/>
          <w:sz w:val="22"/>
          <w:szCs w:val="22"/>
        </w:rPr>
        <w:t>uni Kōkiri</w:t>
      </w:r>
      <w:r w:rsidR="005560BA" w:rsidRPr="00343C39">
        <w:rPr>
          <w:rFonts w:ascii="Calibri" w:hAnsi="Calibri"/>
          <w:sz w:val="22"/>
          <w:szCs w:val="22"/>
        </w:rPr>
        <w:t>: www.tpk.govt.nz</w:t>
      </w:r>
    </w:p>
    <w:p w:rsidR="005560BA" w:rsidRPr="00C31B8F" w:rsidRDefault="005560BA" w:rsidP="00F70BF8">
      <w:pPr>
        <w:jc w:val="both"/>
        <w:rPr>
          <w:rFonts w:ascii="Calibri" w:hAnsi="Calibri"/>
          <w:sz w:val="22"/>
          <w:szCs w:val="22"/>
        </w:rPr>
      </w:pPr>
    </w:p>
    <w:p w:rsidR="005560BA" w:rsidRPr="002910C1" w:rsidRDefault="005560BA" w:rsidP="00F70BF8">
      <w:pPr>
        <w:jc w:val="both"/>
        <w:rPr>
          <w:rFonts w:ascii="Calibri" w:hAnsi="Calibri"/>
          <w:b/>
          <w:sz w:val="28"/>
          <w:szCs w:val="28"/>
        </w:rPr>
      </w:pPr>
      <w:r w:rsidRPr="002910C1">
        <w:rPr>
          <w:rFonts w:ascii="Calibri" w:hAnsi="Calibri"/>
          <w:b/>
          <w:sz w:val="28"/>
          <w:szCs w:val="28"/>
        </w:rPr>
        <w:t>Responses</w:t>
      </w:r>
    </w:p>
    <w:p w:rsidR="005560BA" w:rsidRPr="00343C39" w:rsidRDefault="005560BA" w:rsidP="00F70BF8">
      <w:pPr>
        <w:jc w:val="both"/>
        <w:rPr>
          <w:rFonts w:ascii="Calibri" w:hAnsi="Calibri"/>
          <w:b/>
          <w:sz w:val="22"/>
          <w:szCs w:val="22"/>
        </w:rPr>
      </w:pPr>
    </w:p>
    <w:p w:rsidR="005560BA" w:rsidRDefault="005560BA" w:rsidP="00F70BF8">
      <w:pPr>
        <w:jc w:val="both"/>
        <w:rPr>
          <w:rFonts w:ascii="Calibri" w:hAnsi="Calibri"/>
          <w:sz w:val="22"/>
          <w:szCs w:val="22"/>
        </w:rPr>
      </w:pPr>
      <w:r>
        <w:rPr>
          <w:rFonts w:ascii="Calibri" w:hAnsi="Calibri"/>
          <w:sz w:val="22"/>
          <w:szCs w:val="22"/>
        </w:rPr>
        <w:t xml:space="preserve">While </w:t>
      </w:r>
      <w:r w:rsidRPr="00343C39">
        <w:rPr>
          <w:rFonts w:ascii="Calibri" w:hAnsi="Calibri"/>
          <w:sz w:val="22"/>
          <w:szCs w:val="22"/>
        </w:rPr>
        <w:t>T</w:t>
      </w:r>
      <w:r>
        <w:rPr>
          <w:rFonts w:ascii="Calibri" w:hAnsi="Calibri"/>
          <w:sz w:val="22"/>
          <w:szCs w:val="22"/>
        </w:rPr>
        <w:t xml:space="preserve">e </w:t>
      </w:r>
      <w:r w:rsidRPr="00343C39">
        <w:rPr>
          <w:rFonts w:ascii="Calibri" w:hAnsi="Calibri"/>
          <w:sz w:val="22"/>
          <w:szCs w:val="22"/>
        </w:rPr>
        <w:t>P</w:t>
      </w:r>
      <w:r>
        <w:rPr>
          <w:rFonts w:ascii="Calibri" w:hAnsi="Calibri"/>
          <w:sz w:val="22"/>
          <w:szCs w:val="22"/>
        </w:rPr>
        <w:t>uni Kōkiri</w:t>
      </w:r>
      <w:r w:rsidRPr="00C31B8F">
        <w:rPr>
          <w:rFonts w:ascii="Calibri" w:hAnsi="Calibri"/>
          <w:sz w:val="22"/>
          <w:szCs w:val="22"/>
        </w:rPr>
        <w:t xml:space="preserve"> is keen to receive thoughtful responses from the market, the following should be noted:</w:t>
      </w:r>
    </w:p>
    <w:p w:rsidR="005560BA" w:rsidRPr="00C31B8F" w:rsidRDefault="005560BA" w:rsidP="00F70BF8">
      <w:pPr>
        <w:jc w:val="both"/>
        <w:rPr>
          <w:rFonts w:ascii="Calibri" w:hAnsi="Calibri"/>
          <w:sz w:val="22"/>
          <w:szCs w:val="22"/>
        </w:rPr>
      </w:pPr>
    </w:p>
    <w:p w:rsidR="005560BA" w:rsidRDefault="005560BA" w:rsidP="00F70BF8">
      <w:pPr>
        <w:pStyle w:val="ListParagraph"/>
        <w:numPr>
          <w:ilvl w:val="0"/>
          <w:numId w:val="20"/>
        </w:numPr>
        <w:jc w:val="both"/>
        <w:rPr>
          <w:rFonts w:ascii="Calibri" w:hAnsi="Calibri"/>
          <w:sz w:val="22"/>
          <w:szCs w:val="22"/>
        </w:rPr>
      </w:pPr>
      <w:r w:rsidRPr="00343C39">
        <w:rPr>
          <w:rFonts w:ascii="Calibri" w:hAnsi="Calibri"/>
          <w:sz w:val="22"/>
          <w:szCs w:val="22"/>
        </w:rPr>
        <w:t>Responses should be brief and to the point.</w:t>
      </w:r>
    </w:p>
    <w:p w:rsidR="005560BA" w:rsidRDefault="005560BA" w:rsidP="00F70BF8">
      <w:pPr>
        <w:pStyle w:val="ListParagraph"/>
        <w:ind w:left="360"/>
        <w:jc w:val="both"/>
        <w:rPr>
          <w:rFonts w:ascii="Calibri" w:hAnsi="Calibri"/>
          <w:sz w:val="22"/>
          <w:szCs w:val="22"/>
        </w:rPr>
      </w:pPr>
    </w:p>
    <w:p w:rsidR="005560BA" w:rsidRDefault="005560BA" w:rsidP="00F70BF8">
      <w:pPr>
        <w:pStyle w:val="ListParagraph"/>
        <w:numPr>
          <w:ilvl w:val="0"/>
          <w:numId w:val="20"/>
        </w:numPr>
        <w:jc w:val="both"/>
        <w:rPr>
          <w:rFonts w:ascii="Calibri" w:hAnsi="Calibri"/>
          <w:sz w:val="22"/>
          <w:szCs w:val="22"/>
        </w:rPr>
      </w:pPr>
      <w:r w:rsidRPr="00343C39">
        <w:rPr>
          <w:rFonts w:ascii="Calibri" w:hAnsi="Calibri"/>
          <w:sz w:val="22"/>
          <w:szCs w:val="22"/>
        </w:rPr>
        <w:t>The inclusion of graphs and data is not required.</w:t>
      </w:r>
    </w:p>
    <w:p w:rsidR="005560BA" w:rsidRPr="00343C39" w:rsidRDefault="005560BA" w:rsidP="00F70BF8">
      <w:pPr>
        <w:pStyle w:val="ListParagraph"/>
        <w:jc w:val="both"/>
        <w:rPr>
          <w:rFonts w:ascii="Calibri" w:hAnsi="Calibri"/>
          <w:sz w:val="22"/>
          <w:szCs w:val="22"/>
        </w:rPr>
      </w:pPr>
    </w:p>
    <w:p w:rsidR="008D69E5" w:rsidRDefault="005560BA" w:rsidP="00F70BF8">
      <w:pPr>
        <w:pStyle w:val="ListParagraph"/>
        <w:numPr>
          <w:ilvl w:val="0"/>
          <w:numId w:val="20"/>
        </w:numPr>
        <w:jc w:val="both"/>
        <w:rPr>
          <w:rFonts w:ascii="Calibri" w:hAnsi="Calibri"/>
          <w:sz w:val="22"/>
          <w:szCs w:val="22"/>
        </w:rPr>
      </w:pPr>
      <w:r w:rsidRPr="00343C39">
        <w:rPr>
          <w:rFonts w:ascii="Calibri" w:hAnsi="Calibri"/>
          <w:sz w:val="22"/>
          <w:szCs w:val="22"/>
        </w:rPr>
        <w:t xml:space="preserve">General company literature or marketing </w:t>
      </w:r>
      <w:r>
        <w:rPr>
          <w:rFonts w:ascii="Calibri" w:hAnsi="Calibri"/>
          <w:sz w:val="22"/>
          <w:szCs w:val="22"/>
        </w:rPr>
        <w:t>material should not be included.</w:t>
      </w:r>
    </w:p>
    <w:p w:rsidR="008D69E5" w:rsidRPr="008D69E5" w:rsidRDefault="008D69E5" w:rsidP="00F70BF8">
      <w:pPr>
        <w:pStyle w:val="ListParagraph"/>
        <w:jc w:val="both"/>
        <w:rPr>
          <w:rFonts w:ascii="Calibri" w:hAnsi="Calibri"/>
          <w:sz w:val="22"/>
          <w:szCs w:val="22"/>
        </w:rPr>
      </w:pPr>
    </w:p>
    <w:p w:rsidR="003222FE" w:rsidRPr="008D69E5" w:rsidRDefault="005560BA" w:rsidP="00F70BF8">
      <w:pPr>
        <w:jc w:val="both"/>
        <w:rPr>
          <w:rFonts w:ascii="Calibri" w:hAnsi="Calibri"/>
          <w:sz w:val="22"/>
          <w:szCs w:val="22"/>
        </w:rPr>
      </w:pPr>
      <w:r w:rsidRPr="008D69E5">
        <w:rPr>
          <w:rFonts w:ascii="Calibri" w:hAnsi="Calibri"/>
          <w:sz w:val="22"/>
          <w:szCs w:val="22"/>
        </w:rPr>
        <w:t>Respondents should note that their request to participate in market sounding will only be considered if they can demonstrate that they</w:t>
      </w:r>
      <w:r w:rsidR="008D69E5" w:rsidRPr="008D69E5">
        <w:rPr>
          <w:rFonts w:ascii="Calibri" w:hAnsi="Calibri"/>
          <w:sz w:val="22"/>
          <w:szCs w:val="22"/>
        </w:rPr>
        <w:t xml:space="preserve"> </w:t>
      </w:r>
      <w:r w:rsidR="00CA5396" w:rsidRPr="008D69E5">
        <w:rPr>
          <w:rFonts w:ascii="Calibri" w:hAnsi="Calibri"/>
          <w:sz w:val="22"/>
          <w:szCs w:val="22"/>
        </w:rPr>
        <w:t>have serious intention to participate in procurement.</w:t>
      </w:r>
    </w:p>
    <w:p w:rsidR="005560BA" w:rsidRPr="00C31B8F" w:rsidRDefault="005560BA" w:rsidP="00F70BF8">
      <w:pPr>
        <w:jc w:val="both"/>
        <w:rPr>
          <w:rFonts w:ascii="Calibri" w:hAnsi="Calibri"/>
          <w:sz w:val="22"/>
          <w:szCs w:val="22"/>
        </w:rPr>
      </w:pPr>
    </w:p>
    <w:p w:rsidR="005560BA" w:rsidRDefault="005560BA" w:rsidP="00F70BF8">
      <w:pPr>
        <w:jc w:val="both"/>
        <w:rPr>
          <w:rFonts w:ascii="Calibri" w:hAnsi="Calibri"/>
          <w:b/>
          <w:sz w:val="28"/>
          <w:szCs w:val="28"/>
        </w:rPr>
      </w:pPr>
      <w:r>
        <w:rPr>
          <w:rFonts w:ascii="Calibri" w:hAnsi="Calibri"/>
          <w:b/>
          <w:sz w:val="28"/>
          <w:szCs w:val="28"/>
        </w:rPr>
        <w:br w:type="page"/>
      </w:r>
    </w:p>
    <w:p w:rsidR="005560BA" w:rsidRDefault="005560BA" w:rsidP="00F70BF8">
      <w:pPr>
        <w:jc w:val="both"/>
        <w:rPr>
          <w:rFonts w:ascii="Calibri" w:hAnsi="Calibri"/>
          <w:b/>
          <w:sz w:val="28"/>
          <w:szCs w:val="28"/>
        </w:rPr>
      </w:pPr>
      <w:r w:rsidRPr="00343C39">
        <w:rPr>
          <w:rFonts w:ascii="Calibri" w:hAnsi="Calibri"/>
          <w:b/>
          <w:sz w:val="28"/>
          <w:szCs w:val="28"/>
        </w:rPr>
        <w:lastRenderedPageBreak/>
        <w:t>Respondent Information</w:t>
      </w:r>
    </w:p>
    <w:p w:rsidR="005560BA" w:rsidRPr="00343C39" w:rsidRDefault="00F82028" w:rsidP="00F70BF8">
      <w:pPr>
        <w:jc w:val="both"/>
        <w:rPr>
          <w:rFonts w:ascii="Calibri" w:hAnsi="Calibri"/>
          <w:b/>
          <w:sz w:val="28"/>
          <w:szCs w:val="28"/>
        </w:rPr>
      </w:pPr>
      <w:r>
        <w:rPr>
          <w:rFonts w:ascii="Calibri" w:hAnsi="Calibri"/>
          <w:sz w:val="16"/>
          <w:szCs w:val="16"/>
        </w:rPr>
        <w:pict>
          <v:rect id="_x0000_i1028" style="width:415.65pt;height:1.5pt" o:hralign="center" o:hrstd="t" o:hr="t" fillcolor="#aca899" stroked="f"/>
        </w:pict>
      </w:r>
    </w:p>
    <w:p w:rsidR="005560BA" w:rsidRPr="00684764" w:rsidRDefault="005560BA" w:rsidP="00F70BF8">
      <w:pPr>
        <w:jc w:val="both"/>
        <w:rPr>
          <w:rFonts w:ascii="Calibri" w:hAnsi="Calibri"/>
          <w:sz w:val="16"/>
          <w:szCs w:val="16"/>
        </w:rPr>
      </w:pPr>
    </w:p>
    <w:p w:rsidR="005560BA" w:rsidRDefault="005560BA" w:rsidP="00F70BF8">
      <w:pPr>
        <w:jc w:val="both"/>
        <w:rPr>
          <w:rFonts w:ascii="Calibri" w:hAnsi="Calibri"/>
          <w:sz w:val="22"/>
          <w:szCs w:val="22"/>
        </w:rPr>
      </w:pPr>
      <w:r w:rsidRPr="00C31B8F">
        <w:rPr>
          <w:rFonts w:ascii="Calibri" w:hAnsi="Calibri"/>
          <w:sz w:val="22"/>
          <w:szCs w:val="22"/>
        </w:rPr>
        <w:t>Respondents are requested to provide the following:</w:t>
      </w:r>
    </w:p>
    <w:p w:rsidR="005560BA" w:rsidRPr="00C31B8F" w:rsidRDefault="005560BA" w:rsidP="005560BA">
      <w:pPr>
        <w:jc w:val="both"/>
        <w:rPr>
          <w:rFonts w:ascii="Calibri" w:hAnsi="Calibri"/>
          <w:sz w:val="22"/>
          <w:szCs w:val="22"/>
        </w:rPr>
      </w:pPr>
    </w:p>
    <w:tbl>
      <w:tblPr>
        <w:tblStyle w:val="TableGrid"/>
        <w:tblW w:w="0" w:type="auto"/>
        <w:jc w:val="center"/>
        <w:tblInd w:w="-193" w:type="dxa"/>
        <w:tblLook w:val="04A0" w:firstRow="1" w:lastRow="0" w:firstColumn="1" w:lastColumn="0" w:noHBand="0" w:noVBand="1"/>
      </w:tblPr>
      <w:tblGrid>
        <w:gridCol w:w="3562"/>
        <w:gridCol w:w="6122"/>
      </w:tblGrid>
      <w:tr w:rsidR="005560BA" w:rsidTr="005560BA">
        <w:trPr>
          <w:jc w:val="center"/>
        </w:trPr>
        <w:tc>
          <w:tcPr>
            <w:tcW w:w="3562" w:type="dxa"/>
          </w:tcPr>
          <w:p w:rsidR="005560BA" w:rsidRPr="005560BA" w:rsidRDefault="005560BA" w:rsidP="005560BA">
            <w:pPr>
              <w:spacing w:line="480" w:lineRule="auto"/>
              <w:jc w:val="both"/>
              <w:rPr>
                <w:rFonts w:ascii="Calibri" w:hAnsi="Calibri"/>
              </w:rPr>
            </w:pPr>
            <w:r w:rsidRPr="005560BA">
              <w:rPr>
                <w:rFonts w:ascii="Calibri" w:hAnsi="Calibri"/>
                <w:sz w:val="22"/>
                <w:szCs w:val="22"/>
              </w:rPr>
              <w:t>Legal name:</w:t>
            </w:r>
          </w:p>
        </w:tc>
        <w:tc>
          <w:tcPr>
            <w:tcW w:w="6122" w:type="dxa"/>
          </w:tcPr>
          <w:p w:rsidR="005560BA" w:rsidRPr="00696022" w:rsidRDefault="005560BA" w:rsidP="005560BA">
            <w:pPr>
              <w:pStyle w:val="BodyText"/>
              <w:spacing w:line="480" w:lineRule="auto"/>
            </w:pPr>
          </w:p>
        </w:tc>
      </w:tr>
      <w:tr w:rsidR="005560BA" w:rsidTr="005560BA">
        <w:trPr>
          <w:jc w:val="center"/>
        </w:trPr>
        <w:tc>
          <w:tcPr>
            <w:tcW w:w="3562" w:type="dxa"/>
          </w:tcPr>
          <w:p w:rsidR="005560BA" w:rsidRPr="005560BA" w:rsidRDefault="005560BA" w:rsidP="005560BA">
            <w:pPr>
              <w:spacing w:line="480" w:lineRule="auto"/>
              <w:jc w:val="both"/>
              <w:rPr>
                <w:rFonts w:ascii="Calibri" w:hAnsi="Calibri"/>
              </w:rPr>
            </w:pPr>
            <w:r w:rsidRPr="005560BA">
              <w:rPr>
                <w:rFonts w:ascii="Calibri" w:hAnsi="Calibri"/>
                <w:sz w:val="22"/>
                <w:szCs w:val="22"/>
              </w:rPr>
              <w:t>Trading name (if any):</w:t>
            </w:r>
          </w:p>
        </w:tc>
        <w:tc>
          <w:tcPr>
            <w:tcW w:w="6122" w:type="dxa"/>
          </w:tcPr>
          <w:p w:rsidR="005560BA" w:rsidRPr="00696022" w:rsidRDefault="005560BA" w:rsidP="005560BA">
            <w:pPr>
              <w:pStyle w:val="BodyText"/>
              <w:spacing w:line="480" w:lineRule="auto"/>
            </w:pPr>
          </w:p>
        </w:tc>
      </w:tr>
      <w:tr w:rsidR="005560BA" w:rsidTr="005560BA">
        <w:trPr>
          <w:jc w:val="center"/>
        </w:trPr>
        <w:tc>
          <w:tcPr>
            <w:tcW w:w="3562" w:type="dxa"/>
          </w:tcPr>
          <w:p w:rsidR="005560BA" w:rsidRPr="005560BA" w:rsidRDefault="005560BA" w:rsidP="005560BA">
            <w:pPr>
              <w:spacing w:line="480" w:lineRule="auto"/>
              <w:jc w:val="both"/>
              <w:rPr>
                <w:rFonts w:ascii="Calibri" w:hAnsi="Calibri"/>
              </w:rPr>
            </w:pPr>
            <w:r w:rsidRPr="005560BA">
              <w:rPr>
                <w:rFonts w:ascii="Calibri" w:hAnsi="Calibri"/>
                <w:sz w:val="22"/>
                <w:szCs w:val="22"/>
              </w:rPr>
              <w:t>Contact person (name and title):</w:t>
            </w:r>
          </w:p>
        </w:tc>
        <w:tc>
          <w:tcPr>
            <w:tcW w:w="6122" w:type="dxa"/>
          </w:tcPr>
          <w:p w:rsidR="005560BA" w:rsidRPr="00696022" w:rsidRDefault="005560BA" w:rsidP="005560BA">
            <w:pPr>
              <w:pStyle w:val="BodyText"/>
              <w:spacing w:line="480" w:lineRule="auto"/>
            </w:pPr>
          </w:p>
        </w:tc>
      </w:tr>
      <w:tr w:rsidR="005560BA" w:rsidTr="005560BA">
        <w:trPr>
          <w:jc w:val="center"/>
        </w:trPr>
        <w:tc>
          <w:tcPr>
            <w:tcW w:w="3562" w:type="dxa"/>
          </w:tcPr>
          <w:p w:rsidR="005560BA" w:rsidRPr="005560BA" w:rsidRDefault="005560BA" w:rsidP="005560BA">
            <w:pPr>
              <w:spacing w:line="480" w:lineRule="auto"/>
              <w:jc w:val="both"/>
              <w:rPr>
                <w:rFonts w:ascii="Calibri" w:hAnsi="Calibri"/>
              </w:rPr>
            </w:pPr>
            <w:r w:rsidRPr="005560BA">
              <w:rPr>
                <w:rFonts w:ascii="Calibri" w:hAnsi="Calibri"/>
                <w:sz w:val="22"/>
                <w:szCs w:val="22"/>
              </w:rPr>
              <w:t>Contact phone numbers:</w:t>
            </w:r>
          </w:p>
        </w:tc>
        <w:tc>
          <w:tcPr>
            <w:tcW w:w="6122" w:type="dxa"/>
          </w:tcPr>
          <w:p w:rsidR="005560BA" w:rsidRPr="00696022" w:rsidRDefault="005560BA" w:rsidP="005560BA">
            <w:pPr>
              <w:pStyle w:val="BodyText"/>
              <w:spacing w:line="480" w:lineRule="auto"/>
            </w:pPr>
          </w:p>
        </w:tc>
      </w:tr>
      <w:tr w:rsidR="005560BA" w:rsidTr="005560BA">
        <w:trPr>
          <w:jc w:val="center"/>
        </w:trPr>
        <w:tc>
          <w:tcPr>
            <w:tcW w:w="3562" w:type="dxa"/>
          </w:tcPr>
          <w:p w:rsidR="005560BA" w:rsidRPr="005560BA" w:rsidRDefault="005560BA" w:rsidP="005560BA">
            <w:pPr>
              <w:spacing w:line="480" w:lineRule="auto"/>
              <w:jc w:val="both"/>
              <w:rPr>
                <w:rFonts w:ascii="Calibri" w:hAnsi="Calibri"/>
              </w:rPr>
            </w:pPr>
            <w:r w:rsidRPr="005560BA">
              <w:rPr>
                <w:rFonts w:ascii="Calibri" w:hAnsi="Calibri"/>
                <w:sz w:val="22"/>
                <w:szCs w:val="22"/>
              </w:rPr>
              <w:t>Postal address:</w:t>
            </w:r>
          </w:p>
        </w:tc>
        <w:tc>
          <w:tcPr>
            <w:tcW w:w="6122" w:type="dxa"/>
          </w:tcPr>
          <w:p w:rsidR="005560BA" w:rsidRPr="00696022" w:rsidRDefault="005560BA" w:rsidP="005560BA">
            <w:pPr>
              <w:pStyle w:val="BodyText"/>
              <w:spacing w:line="480" w:lineRule="auto"/>
            </w:pPr>
          </w:p>
        </w:tc>
      </w:tr>
      <w:tr w:rsidR="005560BA" w:rsidTr="005560BA">
        <w:trPr>
          <w:jc w:val="center"/>
        </w:trPr>
        <w:tc>
          <w:tcPr>
            <w:tcW w:w="3562" w:type="dxa"/>
          </w:tcPr>
          <w:p w:rsidR="005560BA" w:rsidRPr="005560BA" w:rsidRDefault="005560BA" w:rsidP="005560BA">
            <w:pPr>
              <w:spacing w:line="480" w:lineRule="auto"/>
              <w:jc w:val="both"/>
              <w:rPr>
                <w:rFonts w:ascii="Calibri" w:hAnsi="Calibri"/>
              </w:rPr>
            </w:pPr>
            <w:r w:rsidRPr="005560BA">
              <w:rPr>
                <w:rFonts w:ascii="Calibri" w:hAnsi="Calibri"/>
                <w:sz w:val="22"/>
                <w:szCs w:val="22"/>
              </w:rPr>
              <w:t>E mail address:</w:t>
            </w:r>
          </w:p>
        </w:tc>
        <w:tc>
          <w:tcPr>
            <w:tcW w:w="6122" w:type="dxa"/>
          </w:tcPr>
          <w:p w:rsidR="005560BA" w:rsidRPr="00696022" w:rsidRDefault="005560BA" w:rsidP="005560BA">
            <w:pPr>
              <w:pStyle w:val="BodyText"/>
              <w:spacing w:line="480" w:lineRule="auto"/>
            </w:pPr>
          </w:p>
        </w:tc>
      </w:tr>
    </w:tbl>
    <w:p w:rsidR="005560BA" w:rsidRDefault="005560BA" w:rsidP="005560BA">
      <w:pPr>
        <w:jc w:val="both"/>
        <w:rPr>
          <w:rFonts w:ascii="Calibri" w:hAnsi="Calibri"/>
          <w:sz w:val="22"/>
          <w:szCs w:val="22"/>
        </w:rPr>
      </w:pPr>
    </w:p>
    <w:p w:rsidR="005560BA" w:rsidRDefault="005560BA" w:rsidP="005560BA">
      <w:pPr>
        <w:jc w:val="both"/>
        <w:rPr>
          <w:rFonts w:ascii="Calibri" w:hAnsi="Calibri"/>
          <w:sz w:val="22"/>
          <w:szCs w:val="22"/>
        </w:rPr>
      </w:pPr>
      <w:r w:rsidRPr="00C31B8F">
        <w:rPr>
          <w:rFonts w:ascii="Calibri" w:hAnsi="Calibri"/>
          <w:sz w:val="22"/>
          <w:szCs w:val="22"/>
        </w:rPr>
        <w:t>Where the respondent is submitting the Market Sounding Questionnaire on behalf of a collective or consortium, please identify actual or proposed members – provide company name and a description of their business.</w:t>
      </w:r>
    </w:p>
    <w:p w:rsidR="009A4AE4" w:rsidRPr="00684764" w:rsidRDefault="009A4AE4" w:rsidP="00071B25">
      <w:pPr>
        <w:jc w:val="both"/>
        <w:rPr>
          <w:rFonts w:ascii="Calibri" w:hAnsi="Calibri"/>
          <w:b/>
          <w:sz w:val="16"/>
          <w:szCs w:val="16"/>
        </w:rPr>
      </w:pPr>
    </w:p>
    <w:p w:rsidR="005560BA" w:rsidRPr="005560BA" w:rsidRDefault="005560BA" w:rsidP="00071B25">
      <w:pPr>
        <w:jc w:val="both"/>
        <w:rPr>
          <w:rFonts w:ascii="Calibri" w:hAnsi="Calibri"/>
          <w:b/>
          <w:sz w:val="28"/>
          <w:szCs w:val="28"/>
        </w:rPr>
      </w:pPr>
      <w:r>
        <w:rPr>
          <w:rFonts w:ascii="Calibri" w:hAnsi="Calibri"/>
          <w:b/>
          <w:sz w:val="28"/>
          <w:szCs w:val="28"/>
        </w:rPr>
        <w:t>General I</w:t>
      </w:r>
      <w:r w:rsidRPr="005560BA">
        <w:rPr>
          <w:rFonts w:ascii="Calibri" w:hAnsi="Calibri"/>
          <w:b/>
          <w:sz w:val="28"/>
          <w:szCs w:val="28"/>
        </w:rPr>
        <w:t>nformation</w:t>
      </w:r>
    </w:p>
    <w:p w:rsidR="005560BA" w:rsidRDefault="00F82028" w:rsidP="00071B25">
      <w:pPr>
        <w:spacing w:line="360" w:lineRule="auto"/>
        <w:jc w:val="both"/>
        <w:rPr>
          <w:rFonts w:ascii="Calibri" w:hAnsi="Calibri"/>
          <w:b/>
          <w:sz w:val="28"/>
          <w:szCs w:val="28"/>
        </w:rPr>
      </w:pPr>
      <w:r>
        <w:rPr>
          <w:rFonts w:ascii="Calibri" w:hAnsi="Calibri"/>
          <w:sz w:val="16"/>
          <w:szCs w:val="16"/>
        </w:rPr>
        <w:pict>
          <v:rect id="_x0000_i1029" style="width:415.65pt;height:1.5pt" o:hralign="center" o:hrstd="t" o:hr="t" fillcolor="#aca899" stroked="f"/>
        </w:pict>
      </w:r>
    </w:p>
    <w:p w:rsidR="005560BA" w:rsidRDefault="005560BA" w:rsidP="00071B25">
      <w:pPr>
        <w:spacing w:line="360" w:lineRule="auto"/>
        <w:jc w:val="both"/>
        <w:rPr>
          <w:rFonts w:ascii="Calibri" w:hAnsi="Calibri"/>
          <w:sz w:val="22"/>
          <w:szCs w:val="22"/>
        </w:rPr>
      </w:pPr>
      <w:r w:rsidRPr="00C31B8F">
        <w:rPr>
          <w:rFonts w:ascii="Calibri" w:hAnsi="Calibri"/>
          <w:sz w:val="22"/>
          <w:szCs w:val="22"/>
        </w:rPr>
        <w:t>Please indicate whether you would like to be kept informed of updates in the project:</w:t>
      </w:r>
    </w:p>
    <w:p w:rsidR="005560BA" w:rsidRPr="00C31B8F" w:rsidRDefault="005560BA" w:rsidP="00071B25">
      <w:pPr>
        <w:spacing w:line="360" w:lineRule="auto"/>
        <w:jc w:val="both"/>
        <w:rPr>
          <w:rFonts w:ascii="Calibri" w:hAnsi="Calibri"/>
          <w:sz w:val="22"/>
          <w:szCs w:val="22"/>
        </w:rPr>
      </w:pPr>
    </w:p>
    <w:p w:rsidR="005560BA" w:rsidRDefault="005560BA" w:rsidP="00071B25">
      <w:pPr>
        <w:spacing w:line="360" w:lineRule="auto"/>
        <w:rPr>
          <w:rFonts w:ascii="Calibri" w:hAnsi="Calibri" w:cs="Calibri"/>
          <w:sz w:val="22"/>
          <w:szCs w:val="22"/>
        </w:rPr>
      </w:pPr>
      <w:r w:rsidRPr="00C31B8F">
        <w:rPr>
          <w:rFonts w:ascii="Arial" w:hAnsi="Arial" w:cs="Arial"/>
          <w:sz w:val="22"/>
          <w:szCs w:val="22"/>
        </w:rPr>
        <w:t>□</w:t>
      </w:r>
      <w:r w:rsidRPr="00C31B8F">
        <w:rPr>
          <w:rFonts w:ascii="Calibri" w:hAnsi="Calibri" w:cs="Calibri"/>
          <w:sz w:val="22"/>
          <w:szCs w:val="22"/>
        </w:rPr>
        <w:t xml:space="preserve"> Yes</w:t>
      </w:r>
      <w:r w:rsidRPr="00C31B8F">
        <w:rPr>
          <w:rFonts w:ascii="Calibri" w:hAnsi="Calibri" w:cs="Calibri"/>
          <w:sz w:val="22"/>
          <w:szCs w:val="22"/>
        </w:rPr>
        <w:tab/>
      </w:r>
      <w:r w:rsidRPr="00C31B8F">
        <w:rPr>
          <w:rFonts w:ascii="Calibri" w:hAnsi="Calibri" w:cs="Calibri"/>
          <w:sz w:val="22"/>
          <w:szCs w:val="22"/>
        </w:rPr>
        <w:tab/>
      </w:r>
      <w:r w:rsidRPr="00C31B8F">
        <w:rPr>
          <w:rFonts w:ascii="Calibri" w:hAnsi="Calibri" w:cs="Calibri"/>
          <w:sz w:val="22"/>
          <w:szCs w:val="22"/>
        </w:rPr>
        <w:tab/>
      </w:r>
      <w:r w:rsidRPr="00C31B8F">
        <w:rPr>
          <w:rFonts w:ascii="Calibri" w:hAnsi="Calibri" w:cs="Calibri"/>
          <w:sz w:val="22"/>
          <w:szCs w:val="22"/>
        </w:rPr>
        <w:tab/>
      </w:r>
      <w:r>
        <w:rPr>
          <w:rFonts w:ascii="Calibri" w:hAnsi="Calibri" w:cs="Calibri"/>
          <w:sz w:val="22"/>
          <w:szCs w:val="22"/>
        </w:rPr>
        <w:tab/>
      </w:r>
      <w:r w:rsidRPr="00C31B8F">
        <w:rPr>
          <w:rFonts w:ascii="Arial" w:hAnsi="Arial" w:cs="Arial"/>
          <w:sz w:val="22"/>
          <w:szCs w:val="22"/>
        </w:rPr>
        <w:t>□</w:t>
      </w:r>
      <w:r w:rsidRPr="00C31B8F">
        <w:rPr>
          <w:rFonts w:ascii="Calibri" w:hAnsi="Calibri" w:cs="Calibri"/>
          <w:sz w:val="22"/>
          <w:szCs w:val="22"/>
        </w:rPr>
        <w:t xml:space="preserve"> No</w:t>
      </w:r>
    </w:p>
    <w:p w:rsidR="005560BA" w:rsidRDefault="005560BA" w:rsidP="00071B25">
      <w:pPr>
        <w:spacing w:line="360" w:lineRule="auto"/>
        <w:jc w:val="both"/>
        <w:rPr>
          <w:rFonts w:ascii="Calibri" w:hAnsi="Calibri"/>
          <w:sz w:val="22"/>
          <w:szCs w:val="22"/>
        </w:rPr>
      </w:pPr>
    </w:p>
    <w:p w:rsidR="005560BA" w:rsidRDefault="005560BA" w:rsidP="00071B25">
      <w:pPr>
        <w:spacing w:line="360" w:lineRule="auto"/>
        <w:jc w:val="both"/>
        <w:rPr>
          <w:rFonts w:ascii="Calibri" w:hAnsi="Calibri"/>
          <w:sz w:val="22"/>
          <w:szCs w:val="22"/>
        </w:rPr>
      </w:pPr>
      <w:r w:rsidRPr="00C31B8F">
        <w:rPr>
          <w:rFonts w:ascii="Calibri" w:hAnsi="Calibri"/>
          <w:sz w:val="22"/>
          <w:szCs w:val="22"/>
        </w:rPr>
        <w:t>Please advise if you are interested in participating in the procurement process, and if so</w:t>
      </w:r>
      <w:r>
        <w:rPr>
          <w:rFonts w:ascii="Calibri" w:hAnsi="Calibri"/>
          <w:sz w:val="22"/>
          <w:szCs w:val="22"/>
        </w:rPr>
        <w:t>,</w:t>
      </w:r>
      <w:r w:rsidRPr="00C31B8F">
        <w:rPr>
          <w:rFonts w:ascii="Calibri" w:hAnsi="Calibri"/>
          <w:sz w:val="22"/>
          <w:szCs w:val="22"/>
        </w:rPr>
        <w:t xml:space="preserve"> for which commissioning agencies:</w:t>
      </w:r>
    </w:p>
    <w:p w:rsidR="005560BA" w:rsidRPr="00C31B8F" w:rsidRDefault="005560BA" w:rsidP="00071B25">
      <w:pPr>
        <w:spacing w:line="360" w:lineRule="auto"/>
        <w:jc w:val="both"/>
        <w:rPr>
          <w:rFonts w:ascii="Calibri" w:hAnsi="Calibri"/>
          <w:sz w:val="22"/>
          <w:szCs w:val="22"/>
        </w:rPr>
      </w:pPr>
    </w:p>
    <w:p w:rsidR="005560BA" w:rsidRPr="00C31B8F" w:rsidRDefault="005560BA" w:rsidP="00071B25">
      <w:pPr>
        <w:spacing w:line="360" w:lineRule="auto"/>
        <w:jc w:val="both"/>
        <w:rPr>
          <w:rFonts w:ascii="Calibri" w:hAnsi="Calibri"/>
          <w:sz w:val="22"/>
          <w:szCs w:val="22"/>
        </w:rPr>
      </w:pPr>
      <w:r w:rsidRPr="00C31B8F">
        <w:rPr>
          <w:rFonts w:ascii="Arial" w:hAnsi="Arial" w:cs="Arial"/>
          <w:sz w:val="22"/>
          <w:szCs w:val="22"/>
        </w:rPr>
        <w:t>□</w:t>
      </w:r>
      <w:r w:rsidRPr="00C31B8F">
        <w:rPr>
          <w:rFonts w:ascii="Calibri" w:hAnsi="Calibri" w:cs="Calibri"/>
          <w:sz w:val="22"/>
          <w:szCs w:val="22"/>
        </w:rPr>
        <w:t xml:space="preserve"> Yes</w:t>
      </w:r>
      <w:r w:rsidRPr="00C31B8F">
        <w:rPr>
          <w:rFonts w:ascii="Calibri" w:hAnsi="Calibri" w:cs="Calibri"/>
          <w:sz w:val="22"/>
          <w:szCs w:val="22"/>
        </w:rPr>
        <w:tab/>
      </w:r>
      <w:r>
        <w:rPr>
          <w:rFonts w:ascii="Calibri" w:hAnsi="Calibri" w:cs="Calibri"/>
          <w:sz w:val="22"/>
          <w:szCs w:val="22"/>
        </w:rPr>
        <w:tab/>
      </w:r>
      <w:r w:rsidRPr="00C31B8F">
        <w:rPr>
          <w:rFonts w:ascii="Arial" w:hAnsi="Arial" w:cs="Arial"/>
          <w:sz w:val="22"/>
          <w:szCs w:val="22"/>
        </w:rPr>
        <w:t>□</w:t>
      </w:r>
      <w:r w:rsidRPr="00C31B8F">
        <w:rPr>
          <w:rFonts w:ascii="Calibri" w:hAnsi="Calibri" w:cs="Calibri"/>
          <w:sz w:val="22"/>
          <w:szCs w:val="22"/>
        </w:rPr>
        <w:t xml:space="preserve"> North</w:t>
      </w:r>
      <w:r w:rsidRPr="00C31B8F">
        <w:rPr>
          <w:rFonts w:ascii="Calibri" w:hAnsi="Calibri" w:cs="Calibri"/>
          <w:sz w:val="22"/>
          <w:szCs w:val="22"/>
        </w:rPr>
        <w:tab/>
      </w:r>
      <w:r w:rsidRPr="00C31B8F">
        <w:rPr>
          <w:rFonts w:ascii="Calibri" w:hAnsi="Calibri" w:cs="Calibri"/>
          <w:sz w:val="22"/>
          <w:szCs w:val="22"/>
        </w:rPr>
        <w:tab/>
      </w:r>
      <w:r w:rsidRPr="00C31B8F">
        <w:rPr>
          <w:rFonts w:ascii="Calibri" w:hAnsi="Calibri" w:cs="Calibri"/>
          <w:sz w:val="22"/>
          <w:szCs w:val="22"/>
        </w:rPr>
        <w:tab/>
      </w:r>
      <w:r w:rsidRPr="00C31B8F">
        <w:rPr>
          <w:rFonts w:ascii="Arial" w:hAnsi="Arial" w:cs="Arial"/>
          <w:sz w:val="22"/>
          <w:szCs w:val="22"/>
        </w:rPr>
        <w:t>□</w:t>
      </w:r>
      <w:r w:rsidRPr="00C31B8F">
        <w:rPr>
          <w:rFonts w:ascii="Calibri" w:hAnsi="Calibri" w:cs="Calibri"/>
          <w:sz w:val="22"/>
          <w:szCs w:val="22"/>
        </w:rPr>
        <w:t xml:space="preserve"> No</w:t>
      </w:r>
    </w:p>
    <w:p w:rsidR="005560BA" w:rsidRPr="00C31B8F" w:rsidRDefault="005560BA" w:rsidP="00071B25">
      <w:pPr>
        <w:spacing w:line="360" w:lineRule="auto"/>
        <w:jc w:val="both"/>
        <w:rPr>
          <w:rFonts w:ascii="Calibri" w:hAnsi="Calibri"/>
          <w:sz w:val="22"/>
          <w:szCs w:val="22"/>
        </w:rPr>
      </w:pPr>
      <w:r w:rsidRPr="00C31B8F">
        <w:rPr>
          <w:rFonts w:ascii="Calibri" w:hAnsi="Calibri"/>
          <w:sz w:val="22"/>
          <w:szCs w:val="22"/>
        </w:rPr>
        <w:tab/>
      </w:r>
      <w:r>
        <w:rPr>
          <w:rFonts w:ascii="Calibri" w:hAnsi="Calibri"/>
          <w:sz w:val="22"/>
          <w:szCs w:val="22"/>
        </w:rPr>
        <w:tab/>
      </w:r>
      <w:r w:rsidRPr="00C31B8F">
        <w:rPr>
          <w:rFonts w:ascii="Arial" w:hAnsi="Arial" w:cs="Arial"/>
          <w:sz w:val="22"/>
          <w:szCs w:val="22"/>
        </w:rPr>
        <w:t>□</w:t>
      </w:r>
      <w:r w:rsidRPr="00C31B8F">
        <w:rPr>
          <w:rFonts w:ascii="Calibri" w:hAnsi="Calibri" w:cs="Calibri"/>
          <w:sz w:val="22"/>
          <w:szCs w:val="22"/>
        </w:rPr>
        <w:t xml:space="preserve"> South</w:t>
      </w:r>
      <w:r w:rsidRPr="00C31B8F">
        <w:rPr>
          <w:rFonts w:ascii="Calibri" w:hAnsi="Calibri" w:cs="Calibri"/>
          <w:sz w:val="22"/>
          <w:szCs w:val="22"/>
        </w:rPr>
        <w:tab/>
      </w:r>
    </w:p>
    <w:p w:rsidR="005560BA" w:rsidRDefault="005560BA" w:rsidP="00071B25">
      <w:pPr>
        <w:spacing w:line="360" w:lineRule="auto"/>
        <w:jc w:val="both"/>
        <w:rPr>
          <w:rFonts w:ascii="Calibri" w:hAnsi="Calibri" w:cs="Calibri"/>
          <w:sz w:val="22"/>
          <w:szCs w:val="22"/>
        </w:rPr>
      </w:pPr>
      <w:r w:rsidRPr="00C31B8F">
        <w:rPr>
          <w:rFonts w:ascii="Calibri" w:hAnsi="Calibri"/>
          <w:sz w:val="22"/>
          <w:szCs w:val="22"/>
        </w:rPr>
        <w:tab/>
      </w:r>
      <w:r>
        <w:rPr>
          <w:rFonts w:ascii="Calibri" w:hAnsi="Calibri"/>
          <w:sz w:val="22"/>
          <w:szCs w:val="22"/>
        </w:rPr>
        <w:tab/>
      </w:r>
      <w:r w:rsidRPr="00C31B8F">
        <w:rPr>
          <w:rFonts w:ascii="Arial" w:hAnsi="Arial" w:cs="Arial"/>
          <w:sz w:val="22"/>
          <w:szCs w:val="22"/>
        </w:rPr>
        <w:t>□</w:t>
      </w:r>
      <w:r w:rsidRPr="00C31B8F">
        <w:rPr>
          <w:rFonts w:ascii="Calibri" w:hAnsi="Calibri" w:cs="Calibri"/>
          <w:sz w:val="22"/>
          <w:szCs w:val="22"/>
        </w:rPr>
        <w:t xml:space="preserve"> Pacific</w:t>
      </w:r>
    </w:p>
    <w:p w:rsidR="005560BA" w:rsidRDefault="005560BA" w:rsidP="00071B25">
      <w:pPr>
        <w:spacing w:line="360" w:lineRule="auto"/>
        <w:jc w:val="both"/>
        <w:rPr>
          <w:rFonts w:ascii="Calibri" w:hAnsi="Calibri"/>
          <w:sz w:val="22"/>
          <w:szCs w:val="22"/>
        </w:rPr>
      </w:pPr>
    </w:p>
    <w:p w:rsidR="005560BA" w:rsidRPr="00C31B8F" w:rsidRDefault="005560BA" w:rsidP="00071B25">
      <w:pPr>
        <w:spacing w:line="360" w:lineRule="auto"/>
        <w:jc w:val="both"/>
        <w:rPr>
          <w:rFonts w:ascii="Calibri" w:hAnsi="Calibri"/>
          <w:sz w:val="22"/>
          <w:szCs w:val="22"/>
        </w:rPr>
      </w:pPr>
      <w:r w:rsidRPr="00C31B8F">
        <w:rPr>
          <w:rFonts w:ascii="Calibri" w:hAnsi="Calibri"/>
          <w:sz w:val="22"/>
          <w:szCs w:val="22"/>
        </w:rPr>
        <w:t>Please indicate whether you are interested in attending a market sounding workshop:</w:t>
      </w:r>
    </w:p>
    <w:p w:rsidR="005560BA" w:rsidRDefault="005560BA" w:rsidP="00071B25">
      <w:pPr>
        <w:spacing w:line="360" w:lineRule="auto"/>
        <w:jc w:val="both"/>
        <w:rPr>
          <w:rFonts w:ascii="Arial" w:hAnsi="Arial" w:cs="Arial"/>
          <w:sz w:val="22"/>
          <w:szCs w:val="22"/>
        </w:rPr>
      </w:pPr>
    </w:p>
    <w:p w:rsidR="005560BA" w:rsidRPr="00C31B8F" w:rsidRDefault="005560BA" w:rsidP="00071B25">
      <w:pPr>
        <w:spacing w:line="360" w:lineRule="auto"/>
        <w:jc w:val="both"/>
        <w:rPr>
          <w:rFonts w:ascii="Calibri" w:hAnsi="Calibri"/>
          <w:sz w:val="22"/>
          <w:szCs w:val="22"/>
        </w:rPr>
      </w:pPr>
      <w:r w:rsidRPr="00C31B8F">
        <w:rPr>
          <w:rFonts w:ascii="Arial" w:hAnsi="Arial" w:cs="Arial"/>
          <w:sz w:val="22"/>
          <w:szCs w:val="22"/>
        </w:rPr>
        <w:t>□</w:t>
      </w:r>
      <w:r w:rsidRPr="00C31B8F">
        <w:rPr>
          <w:rFonts w:ascii="Calibri" w:hAnsi="Calibri" w:cs="Calibri"/>
          <w:sz w:val="22"/>
          <w:szCs w:val="22"/>
        </w:rPr>
        <w:t xml:space="preserve"> Yes</w:t>
      </w:r>
      <w:r w:rsidRPr="00C31B8F">
        <w:rPr>
          <w:rFonts w:ascii="Calibri" w:hAnsi="Calibri" w:cs="Calibri"/>
          <w:sz w:val="22"/>
          <w:szCs w:val="22"/>
        </w:rPr>
        <w:tab/>
      </w:r>
      <w:r w:rsidRPr="00C31B8F">
        <w:rPr>
          <w:rFonts w:ascii="Calibri" w:hAnsi="Calibri" w:cs="Calibri"/>
          <w:sz w:val="22"/>
          <w:szCs w:val="22"/>
        </w:rPr>
        <w:tab/>
      </w:r>
      <w:r w:rsidRPr="00C31B8F">
        <w:rPr>
          <w:rFonts w:ascii="Calibri" w:hAnsi="Calibri" w:cs="Calibri"/>
          <w:sz w:val="22"/>
          <w:szCs w:val="22"/>
        </w:rPr>
        <w:tab/>
      </w:r>
      <w:r w:rsidRPr="00C31B8F">
        <w:rPr>
          <w:rFonts w:ascii="Calibri" w:hAnsi="Calibri" w:cs="Calibri"/>
          <w:sz w:val="22"/>
          <w:szCs w:val="22"/>
        </w:rPr>
        <w:tab/>
      </w:r>
      <w:r>
        <w:rPr>
          <w:rFonts w:ascii="Calibri" w:hAnsi="Calibri" w:cs="Calibri"/>
          <w:sz w:val="22"/>
          <w:szCs w:val="22"/>
        </w:rPr>
        <w:tab/>
      </w:r>
      <w:r w:rsidRPr="00C31B8F">
        <w:rPr>
          <w:rFonts w:ascii="Arial" w:hAnsi="Arial" w:cs="Arial"/>
          <w:sz w:val="22"/>
          <w:szCs w:val="22"/>
        </w:rPr>
        <w:t>□</w:t>
      </w:r>
      <w:r w:rsidRPr="00C31B8F">
        <w:rPr>
          <w:rFonts w:ascii="Calibri" w:hAnsi="Calibri" w:cs="Calibri"/>
          <w:sz w:val="22"/>
          <w:szCs w:val="22"/>
        </w:rPr>
        <w:t xml:space="preserve"> No</w:t>
      </w:r>
    </w:p>
    <w:p w:rsidR="00071B25" w:rsidRDefault="00071B25" w:rsidP="00DC3349">
      <w:pPr>
        <w:tabs>
          <w:tab w:val="left" w:pos="1985"/>
        </w:tabs>
        <w:rPr>
          <w:rFonts w:ascii="Calibri" w:hAnsi="Calibri"/>
          <w:b/>
          <w:sz w:val="28"/>
          <w:szCs w:val="28"/>
        </w:rPr>
      </w:pPr>
      <w:r>
        <w:rPr>
          <w:rFonts w:ascii="Calibri" w:hAnsi="Calibri"/>
          <w:b/>
          <w:sz w:val="28"/>
          <w:szCs w:val="28"/>
        </w:rPr>
        <w:br w:type="page"/>
      </w:r>
    </w:p>
    <w:p w:rsidR="005560BA" w:rsidRPr="005560BA" w:rsidRDefault="005560BA" w:rsidP="00F70BF8">
      <w:pPr>
        <w:jc w:val="both"/>
        <w:rPr>
          <w:rFonts w:ascii="Calibri" w:hAnsi="Calibri"/>
          <w:b/>
          <w:sz w:val="28"/>
          <w:szCs w:val="28"/>
        </w:rPr>
      </w:pPr>
      <w:r w:rsidRPr="005560BA">
        <w:rPr>
          <w:rFonts w:ascii="Calibri" w:hAnsi="Calibri"/>
          <w:b/>
          <w:sz w:val="28"/>
          <w:szCs w:val="28"/>
        </w:rPr>
        <w:lastRenderedPageBreak/>
        <w:t>Market Sounding Questions</w:t>
      </w:r>
    </w:p>
    <w:p w:rsidR="005560BA" w:rsidRDefault="00F82028" w:rsidP="00F70BF8">
      <w:pPr>
        <w:spacing w:line="360" w:lineRule="auto"/>
        <w:jc w:val="both"/>
        <w:rPr>
          <w:rFonts w:ascii="Calibri" w:hAnsi="Calibri"/>
          <w:sz w:val="22"/>
          <w:szCs w:val="22"/>
        </w:rPr>
      </w:pPr>
      <w:r>
        <w:rPr>
          <w:rFonts w:ascii="Calibri" w:hAnsi="Calibri"/>
          <w:sz w:val="16"/>
          <w:szCs w:val="16"/>
        </w:rPr>
        <w:pict>
          <v:rect id="_x0000_i1030" style="width:415.65pt;height:1.5pt" o:hralign="center" o:hrstd="t" o:hr="t" fillcolor="#aca899" stroked="f"/>
        </w:pict>
      </w:r>
    </w:p>
    <w:p w:rsidR="005560BA" w:rsidRPr="00C31B8F" w:rsidRDefault="005560BA" w:rsidP="00F70BF8">
      <w:pPr>
        <w:spacing w:line="360" w:lineRule="auto"/>
        <w:jc w:val="both"/>
        <w:rPr>
          <w:rFonts w:ascii="Calibri" w:hAnsi="Calibri"/>
          <w:sz w:val="22"/>
          <w:szCs w:val="22"/>
        </w:rPr>
      </w:pPr>
      <w:r w:rsidRPr="00C31B8F">
        <w:rPr>
          <w:rFonts w:ascii="Calibri" w:hAnsi="Calibri"/>
          <w:sz w:val="22"/>
          <w:szCs w:val="22"/>
        </w:rPr>
        <w:t>If you intend to participate in the procurement process</w:t>
      </w:r>
      <w:r>
        <w:rPr>
          <w:rFonts w:ascii="Calibri" w:hAnsi="Calibri"/>
          <w:sz w:val="22"/>
          <w:szCs w:val="22"/>
        </w:rPr>
        <w:t>,</w:t>
      </w:r>
      <w:r w:rsidRPr="00C31B8F">
        <w:rPr>
          <w:rFonts w:ascii="Calibri" w:hAnsi="Calibri"/>
          <w:sz w:val="22"/>
          <w:szCs w:val="22"/>
        </w:rPr>
        <w:t xml:space="preserve"> please answer the following questions:</w:t>
      </w:r>
    </w:p>
    <w:p w:rsidR="005560BA" w:rsidRDefault="005560BA" w:rsidP="00F70BF8">
      <w:pPr>
        <w:spacing w:line="360" w:lineRule="auto"/>
        <w:jc w:val="both"/>
        <w:rPr>
          <w:rFonts w:ascii="Calibri" w:hAnsi="Calibri"/>
          <w:sz w:val="22"/>
          <w:szCs w:val="22"/>
        </w:rPr>
      </w:pPr>
    </w:p>
    <w:p w:rsidR="00071B25" w:rsidRDefault="005560BA" w:rsidP="00F70BF8">
      <w:pPr>
        <w:pStyle w:val="ListParagraph"/>
        <w:numPr>
          <w:ilvl w:val="0"/>
          <w:numId w:val="21"/>
        </w:numPr>
        <w:spacing w:line="360" w:lineRule="auto"/>
        <w:contextualSpacing w:val="0"/>
        <w:jc w:val="both"/>
        <w:rPr>
          <w:rFonts w:ascii="Calibri" w:hAnsi="Calibri"/>
          <w:sz w:val="22"/>
          <w:szCs w:val="22"/>
        </w:rPr>
      </w:pPr>
      <w:r w:rsidRPr="00071B25">
        <w:rPr>
          <w:rFonts w:ascii="Calibri" w:hAnsi="Calibri"/>
          <w:sz w:val="22"/>
          <w:szCs w:val="22"/>
        </w:rPr>
        <w:t xml:space="preserve">What is your view on the commissioning model described and which areas do you consider </w:t>
      </w:r>
      <w:r w:rsidR="00071B25">
        <w:rPr>
          <w:rFonts w:ascii="Calibri" w:hAnsi="Calibri"/>
          <w:sz w:val="22"/>
          <w:szCs w:val="22"/>
        </w:rPr>
        <w:t>are</w:t>
      </w:r>
      <w:r w:rsidRPr="00071B25">
        <w:rPr>
          <w:rFonts w:ascii="Calibri" w:hAnsi="Calibri"/>
          <w:sz w:val="22"/>
          <w:szCs w:val="22"/>
        </w:rPr>
        <w:t xml:space="preserve"> </w:t>
      </w:r>
      <w:r w:rsidR="00071B25">
        <w:rPr>
          <w:rFonts w:ascii="Calibri" w:hAnsi="Calibri"/>
          <w:sz w:val="22"/>
          <w:szCs w:val="22"/>
        </w:rPr>
        <w:t xml:space="preserve">the </w:t>
      </w:r>
      <w:r w:rsidRPr="00071B25">
        <w:rPr>
          <w:rFonts w:ascii="Calibri" w:hAnsi="Calibri"/>
          <w:sz w:val="22"/>
          <w:szCs w:val="22"/>
        </w:rPr>
        <w:t>most appealing?</w:t>
      </w:r>
    </w:p>
    <w:p w:rsidR="003222FE" w:rsidRDefault="003222FE" w:rsidP="00F70BF8">
      <w:pPr>
        <w:pStyle w:val="ListParagraph"/>
        <w:jc w:val="both"/>
        <w:rPr>
          <w:rFonts w:ascii="Calibri" w:hAnsi="Calibri"/>
          <w:sz w:val="22"/>
          <w:szCs w:val="22"/>
        </w:rPr>
      </w:pPr>
    </w:p>
    <w:p w:rsidR="00EC0A74" w:rsidRPr="00EC0A74" w:rsidRDefault="008408D9" w:rsidP="00F70BF8">
      <w:pPr>
        <w:pStyle w:val="ListParagraph"/>
        <w:numPr>
          <w:ilvl w:val="0"/>
          <w:numId w:val="21"/>
        </w:numPr>
        <w:spacing w:line="360" w:lineRule="auto"/>
        <w:contextualSpacing w:val="0"/>
        <w:jc w:val="both"/>
        <w:rPr>
          <w:rFonts w:ascii="Calibri" w:hAnsi="Calibri"/>
          <w:sz w:val="22"/>
          <w:szCs w:val="22"/>
        </w:rPr>
      </w:pPr>
      <w:r>
        <w:rPr>
          <w:rFonts w:ascii="Calibri" w:hAnsi="Calibri"/>
          <w:sz w:val="22"/>
          <w:szCs w:val="22"/>
        </w:rPr>
        <w:t>How would your organisation approach commissioning, in particular</w:t>
      </w:r>
      <w:r w:rsidR="00684764">
        <w:rPr>
          <w:rFonts w:ascii="Calibri" w:hAnsi="Calibri"/>
          <w:sz w:val="22"/>
          <w:szCs w:val="22"/>
        </w:rPr>
        <w:t>,</w:t>
      </w:r>
      <w:r>
        <w:rPr>
          <w:rFonts w:ascii="Calibri" w:hAnsi="Calibri"/>
          <w:sz w:val="22"/>
          <w:szCs w:val="22"/>
        </w:rPr>
        <w:t xml:space="preserve"> innovative approaches to achieving outcomes for whānau that could be delivered through a commissioning </w:t>
      </w:r>
      <w:r w:rsidR="000145C5">
        <w:rPr>
          <w:rFonts w:ascii="Calibri" w:hAnsi="Calibri"/>
          <w:sz w:val="22"/>
          <w:szCs w:val="22"/>
        </w:rPr>
        <w:t>approach</w:t>
      </w:r>
      <w:r>
        <w:rPr>
          <w:rFonts w:ascii="Calibri" w:hAnsi="Calibri"/>
          <w:sz w:val="22"/>
          <w:szCs w:val="22"/>
        </w:rPr>
        <w:t>?</w:t>
      </w:r>
    </w:p>
    <w:p w:rsidR="00071B25" w:rsidRPr="00071B25" w:rsidRDefault="00071B25" w:rsidP="00F70BF8">
      <w:pPr>
        <w:pStyle w:val="ListParagraph"/>
        <w:spacing w:line="360" w:lineRule="auto"/>
        <w:ind w:left="360"/>
        <w:contextualSpacing w:val="0"/>
        <w:jc w:val="both"/>
        <w:rPr>
          <w:rFonts w:ascii="Calibri" w:hAnsi="Calibri"/>
          <w:sz w:val="22"/>
          <w:szCs w:val="22"/>
        </w:rPr>
      </w:pPr>
    </w:p>
    <w:p w:rsidR="00071B25" w:rsidRDefault="005560BA" w:rsidP="00F70BF8">
      <w:pPr>
        <w:pStyle w:val="ListParagraph"/>
        <w:numPr>
          <w:ilvl w:val="0"/>
          <w:numId w:val="21"/>
        </w:numPr>
        <w:spacing w:line="360" w:lineRule="auto"/>
        <w:contextualSpacing w:val="0"/>
        <w:jc w:val="both"/>
        <w:rPr>
          <w:rFonts w:ascii="Calibri" w:hAnsi="Calibri"/>
          <w:sz w:val="22"/>
          <w:szCs w:val="22"/>
        </w:rPr>
      </w:pPr>
      <w:r w:rsidRPr="00071B25">
        <w:rPr>
          <w:rFonts w:ascii="Calibri" w:hAnsi="Calibri"/>
          <w:sz w:val="22"/>
          <w:szCs w:val="22"/>
        </w:rPr>
        <w:t xml:space="preserve">Are there any areas of the project </w:t>
      </w:r>
      <w:r w:rsidR="00071B25">
        <w:rPr>
          <w:rFonts w:ascii="Calibri" w:hAnsi="Calibri"/>
          <w:sz w:val="22"/>
          <w:szCs w:val="22"/>
        </w:rPr>
        <w:t>in particular that</w:t>
      </w:r>
      <w:r w:rsidRPr="00071B25">
        <w:rPr>
          <w:rFonts w:ascii="Calibri" w:hAnsi="Calibri"/>
          <w:sz w:val="22"/>
          <w:szCs w:val="22"/>
        </w:rPr>
        <w:t xml:space="preserve"> raise concerns for you?</w:t>
      </w:r>
    </w:p>
    <w:p w:rsidR="00071B25" w:rsidRPr="00071B25" w:rsidRDefault="00071B25" w:rsidP="00F70BF8">
      <w:pPr>
        <w:pStyle w:val="ListParagraph"/>
        <w:spacing w:line="360" w:lineRule="auto"/>
        <w:ind w:left="360"/>
        <w:contextualSpacing w:val="0"/>
        <w:jc w:val="both"/>
        <w:rPr>
          <w:rFonts w:ascii="Calibri" w:hAnsi="Calibri"/>
          <w:sz w:val="22"/>
          <w:szCs w:val="22"/>
        </w:rPr>
      </w:pPr>
    </w:p>
    <w:p w:rsidR="00071B25" w:rsidRDefault="005560BA" w:rsidP="00F70BF8">
      <w:pPr>
        <w:pStyle w:val="ListParagraph"/>
        <w:numPr>
          <w:ilvl w:val="0"/>
          <w:numId w:val="21"/>
        </w:numPr>
        <w:spacing w:line="360" w:lineRule="auto"/>
        <w:contextualSpacing w:val="0"/>
        <w:jc w:val="both"/>
        <w:rPr>
          <w:rFonts w:ascii="Calibri" w:hAnsi="Calibri"/>
          <w:sz w:val="22"/>
          <w:szCs w:val="22"/>
        </w:rPr>
      </w:pPr>
      <w:r w:rsidRPr="00071B25">
        <w:rPr>
          <w:rFonts w:ascii="Calibri" w:hAnsi="Calibri"/>
          <w:sz w:val="22"/>
          <w:szCs w:val="22"/>
        </w:rPr>
        <w:t>W</w:t>
      </w:r>
      <w:r w:rsidR="00071B25">
        <w:rPr>
          <w:rFonts w:ascii="Calibri" w:hAnsi="Calibri"/>
          <w:sz w:val="22"/>
          <w:szCs w:val="22"/>
        </w:rPr>
        <w:t>hat is your view on an outcomes-focused, results-</w:t>
      </w:r>
      <w:r w:rsidRPr="00071B25">
        <w:rPr>
          <w:rFonts w:ascii="Calibri" w:hAnsi="Calibri"/>
          <w:sz w:val="22"/>
          <w:szCs w:val="22"/>
        </w:rPr>
        <w:t>based contract?</w:t>
      </w:r>
    </w:p>
    <w:p w:rsidR="00071B25" w:rsidRPr="00071B25" w:rsidRDefault="00071B25" w:rsidP="00F70BF8">
      <w:pPr>
        <w:pStyle w:val="ListParagraph"/>
        <w:spacing w:line="360" w:lineRule="auto"/>
        <w:ind w:left="360"/>
        <w:contextualSpacing w:val="0"/>
        <w:jc w:val="both"/>
        <w:rPr>
          <w:rFonts w:ascii="Calibri" w:hAnsi="Calibri"/>
          <w:sz w:val="22"/>
          <w:szCs w:val="22"/>
        </w:rPr>
      </w:pPr>
    </w:p>
    <w:p w:rsidR="005560BA" w:rsidRPr="008408D9" w:rsidRDefault="005560BA" w:rsidP="00F70BF8">
      <w:pPr>
        <w:pStyle w:val="ListParagraph"/>
        <w:numPr>
          <w:ilvl w:val="0"/>
          <w:numId w:val="21"/>
        </w:numPr>
        <w:spacing w:line="360" w:lineRule="auto"/>
        <w:contextualSpacing w:val="0"/>
        <w:jc w:val="both"/>
        <w:rPr>
          <w:rFonts w:ascii="Calibri" w:hAnsi="Calibri"/>
          <w:sz w:val="22"/>
          <w:szCs w:val="22"/>
        </w:rPr>
      </w:pPr>
      <w:r w:rsidRPr="00071B25">
        <w:rPr>
          <w:rFonts w:ascii="Calibri" w:hAnsi="Calibri"/>
          <w:sz w:val="22"/>
          <w:szCs w:val="22"/>
        </w:rPr>
        <w:t>Please provide any additional comments on the issues raised in this Market Sounding Questionnaire.</w:t>
      </w:r>
      <w:r w:rsidRPr="00071B25">
        <w:rPr>
          <w:rFonts w:asciiTheme="minorHAnsi" w:eastAsia="Arial Unicode MS" w:hAnsiTheme="minorHAnsi" w:cs="Arial Unicode MS"/>
          <w:b/>
        </w:rPr>
        <w:t xml:space="preserve"> </w:t>
      </w:r>
    </w:p>
    <w:p w:rsidR="003222FE" w:rsidRDefault="003222FE" w:rsidP="00F70BF8">
      <w:pPr>
        <w:pStyle w:val="ListParagraph"/>
        <w:jc w:val="both"/>
        <w:rPr>
          <w:rFonts w:ascii="Calibri" w:hAnsi="Calibri"/>
          <w:sz w:val="22"/>
          <w:szCs w:val="22"/>
        </w:rPr>
      </w:pPr>
    </w:p>
    <w:p w:rsidR="00684764" w:rsidRDefault="00684764" w:rsidP="00F70BF8">
      <w:pPr>
        <w:jc w:val="both"/>
        <w:rPr>
          <w:rFonts w:ascii="Calibri" w:hAnsi="Calibri"/>
          <w:sz w:val="22"/>
          <w:szCs w:val="22"/>
        </w:rPr>
      </w:pPr>
    </w:p>
    <w:p w:rsidR="00684764" w:rsidRDefault="00684764" w:rsidP="00F70BF8">
      <w:pPr>
        <w:jc w:val="both"/>
        <w:rPr>
          <w:rFonts w:ascii="Calibri" w:hAnsi="Calibri" w:cs="Arial"/>
          <w:b/>
          <w:noProof/>
          <w:sz w:val="36"/>
          <w:szCs w:val="36"/>
          <w:lang w:eastAsia="en-NZ"/>
        </w:rPr>
      </w:pPr>
      <w:r>
        <w:rPr>
          <w:rFonts w:ascii="Calibri" w:hAnsi="Calibri" w:cs="Arial"/>
          <w:b/>
          <w:noProof/>
          <w:sz w:val="36"/>
          <w:szCs w:val="36"/>
          <w:lang w:eastAsia="en-NZ"/>
        </w:rPr>
        <w:br w:type="page"/>
      </w:r>
    </w:p>
    <w:p w:rsidR="00311298" w:rsidRPr="00F70BF8" w:rsidRDefault="00311298" w:rsidP="00F70BF8">
      <w:pPr>
        <w:jc w:val="both"/>
        <w:rPr>
          <w:rFonts w:asciiTheme="minorHAnsi" w:hAnsiTheme="minorHAnsi" w:cs="Arial"/>
          <w:b/>
          <w:sz w:val="36"/>
          <w:szCs w:val="36"/>
        </w:rPr>
      </w:pPr>
      <w:r w:rsidRPr="00F70BF8">
        <w:rPr>
          <w:rFonts w:asciiTheme="minorHAnsi" w:hAnsiTheme="minorHAnsi" w:cs="Arial"/>
          <w:b/>
          <w:noProof/>
          <w:sz w:val="36"/>
          <w:szCs w:val="36"/>
          <w:lang w:eastAsia="en-NZ"/>
        </w:rPr>
        <w:lastRenderedPageBreak/>
        <w:drawing>
          <wp:anchor distT="0" distB="0" distL="114300" distR="114300" simplePos="0" relativeHeight="251667456" behindDoc="0" locked="0" layoutInCell="1" allowOverlap="1">
            <wp:simplePos x="0" y="0"/>
            <wp:positionH relativeFrom="margin">
              <wp:posOffset>4977130</wp:posOffset>
            </wp:positionH>
            <wp:positionV relativeFrom="margin">
              <wp:posOffset>-347345</wp:posOffset>
            </wp:positionV>
            <wp:extent cx="1123315" cy="977265"/>
            <wp:effectExtent l="19050" t="0" r="635" b="0"/>
            <wp:wrapSquare wrapText="bothSides"/>
            <wp:docPr id="8" name="Picture 3" descr="C:\Documents and Settings\bidov\Desktop\Whanau o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bidov\Desktop\Whanau ora logo.jpg"/>
                    <pic:cNvPicPr>
                      <a:picLocks noChangeAspect="1" noChangeArrowheads="1"/>
                    </pic:cNvPicPr>
                  </pic:nvPicPr>
                  <pic:blipFill>
                    <a:blip r:embed="rId8" cstate="print"/>
                    <a:srcRect/>
                    <a:stretch>
                      <a:fillRect/>
                    </a:stretch>
                  </pic:blipFill>
                  <pic:spPr bwMode="auto">
                    <a:xfrm>
                      <a:off x="0" y="0"/>
                      <a:ext cx="1123315" cy="977265"/>
                    </a:xfrm>
                    <a:prstGeom prst="rect">
                      <a:avLst/>
                    </a:prstGeom>
                    <a:noFill/>
                    <a:ln w="9525">
                      <a:noFill/>
                      <a:miter lim="800000"/>
                      <a:headEnd/>
                      <a:tailEnd/>
                    </a:ln>
                  </pic:spPr>
                </pic:pic>
              </a:graphicData>
            </a:graphic>
          </wp:anchor>
        </w:drawing>
      </w:r>
      <w:r w:rsidR="00C43856" w:rsidRPr="00F70BF8">
        <w:rPr>
          <w:rFonts w:asciiTheme="minorHAnsi" w:hAnsiTheme="minorHAnsi" w:cs="Arial"/>
          <w:b/>
          <w:noProof/>
          <w:sz w:val="36"/>
          <w:szCs w:val="36"/>
          <w:lang w:eastAsia="en-NZ"/>
        </w:rPr>
        <w:t>SCHEDULE 3</w:t>
      </w:r>
    </w:p>
    <w:p w:rsidR="00311298" w:rsidRPr="00F70BF8" w:rsidRDefault="00311298" w:rsidP="00F70BF8">
      <w:pPr>
        <w:pStyle w:val="Style1"/>
        <w:spacing w:after="0" w:line="240" w:lineRule="auto"/>
        <w:rPr>
          <w:rFonts w:asciiTheme="minorHAnsi" w:hAnsiTheme="minorHAnsi"/>
          <w:color w:val="auto"/>
          <w:sz w:val="32"/>
          <w:szCs w:val="32"/>
        </w:rPr>
      </w:pPr>
      <w:r w:rsidRPr="00F70BF8">
        <w:rPr>
          <w:rFonts w:asciiTheme="minorHAnsi" w:hAnsiTheme="minorHAnsi"/>
          <w:color w:val="auto"/>
          <w:sz w:val="32"/>
          <w:szCs w:val="32"/>
        </w:rPr>
        <w:t>Future Focus for Whānau Ora</w:t>
      </w:r>
    </w:p>
    <w:p w:rsidR="00311298" w:rsidRPr="00F70BF8" w:rsidRDefault="00311298" w:rsidP="00F70BF8">
      <w:pPr>
        <w:jc w:val="both"/>
        <w:rPr>
          <w:rFonts w:asciiTheme="minorHAnsi" w:hAnsiTheme="minorHAnsi"/>
          <w:sz w:val="16"/>
          <w:szCs w:val="16"/>
        </w:rPr>
      </w:pPr>
    </w:p>
    <w:p w:rsidR="00311298" w:rsidRPr="00F70BF8" w:rsidRDefault="00F82028" w:rsidP="00F70BF8">
      <w:pPr>
        <w:jc w:val="both"/>
        <w:rPr>
          <w:rFonts w:asciiTheme="minorHAnsi" w:hAnsiTheme="minorHAnsi" w:cs="Arial"/>
          <w:b/>
          <w:sz w:val="16"/>
          <w:szCs w:val="16"/>
        </w:rPr>
      </w:pPr>
      <w:r>
        <w:rPr>
          <w:rFonts w:asciiTheme="minorHAnsi" w:hAnsiTheme="minorHAnsi"/>
          <w:sz w:val="16"/>
          <w:szCs w:val="16"/>
        </w:rPr>
        <w:pict>
          <v:rect id="_x0000_i1031" style="width:415.65pt;height:1.5pt" o:hralign="center" o:hrstd="t" o:hr="t" fillcolor="#aca899" stroked="f"/>
        </w:pict>
      </w:r>
    </w:p>
    <w:p w:rsidR="00311298" w:rsidRPr="00F70BF8" w:rsidRDefault="00311298" w:rsidP="00F70BF8">
      <w:pPr>
        <w:pStyle w:val="ListParagraph"/>
        <w:ind w:left="360"/>
        <w:contextualSpacing w:val="0"/>
        <w:jc w:val="both"/>
        <w:rPr>
          <w:rFonts w:asciiTheme="minorHAnsi" w:hAnsiTheme="minorHAnsi"/>
          <w:sz w:val="16"/>
          <w:szCs w:val="16"/>
        </w:rPr>
      </w:pPr>
    </w:p>
    <w:p w:rsidR="00311298" w:rsidRPr="00F70BF8" w:rsidRDefault="00311298" w:rsidP="00F70BF8">
      <w:pPr>
        <w:pStyle w:val="ListParagraph"/>
        <w:numPr>
          <w:ilvl w:val="0"/>
          <w:numId w:val="1"/>
        </w:numPr>
        <w:contextualSpacing w:val="0"/>
        <w:jc w:val="both"/>
        <w:rPr>
          <w:rFonts w:asciiTheme="minorHAnsi" w:hAnsiTheme="minorHAnsi"/>
          <w:sz w:val="22"/>
          <w:szCs w:val="22"/>
        </w:rPr>
      </w:pPr>
      <w:r w:rsidRPr="00F70BF8">
        <w:rPr>
          <w:rFonts w:asciiTheme="minorHAnsi" w:hAnsiTheme="minorHAnsi"/>
          <w:sz w:val="22"/>
          <w:szCs w:val="22"/>
        </w:rPr>
        <w:t>There will be significant changes to the future scope and direction of Whānau Ora.</w:t>
      </w:r>
    </w:p>
    <w:p w:rsidR="00311298" w:rsidRPr="00F70BF8" w:rsidRDefault="00311298" w:rsidP="00F70BF8">
      <w:pPr>
        <w:pStyle w:val="ListParagraph"/>
        <w:ind w:left="360"/>
        <w:contextualSpacing w:val="0"/>
        <w:jc w:val="both"/>
        <w:rPr>
          <w:rFonts w:asciiTheme="minorHAnsi" w:hAnsiTheme="minorHAnsi"/>
          <w:sz w:val="22"/>
          <w:szCs w:val="22"/>
        </w:rPr>
      </w:pPr>
    </w:p>
    <w:p w:rsidR="00311298" w:rsidRPr="00F70BF8" w:rsidRDefault="00311298" w:rsidP="00F70BF8">
      <w:pPr>
        <w:pStyle w:val="ListParagraph"/>
        <w:numPr>
          <w:ilvl w:val="0"/>
          <w:numId w:val="1"/>
        </w:numPr>
        <w:contextualSpacing w:val="0"/>
        <w:jc w:val="both"/>
        <w:rPr>
          <w:rFonts w:asciiTheme="minorHAnsi" w:hAnsiTheme="minorHAnsi"/>
          <w:sz w:val="22"/>
          <w:szCs w:val="22"/>
        </w:rPr>
      </w:pPr>
      <w:r w:rsidRPr="00F70BF8">
        <w:rPr>
          <w:rFonts w:asciiTheme="minorHAnsi" w:hAnsiTheme="minorHAnsi"/>
          <w:sz w:val="22"/>
          <w:szCs w:val="22"/>
        </w:rPr>
        <w:t>The initial focus on building capability to provide whānau–centred services is progressing well.</w:t>
      </w:r>
    </w:p>
    <w:p w:rsidR="00311298" w:rsidRPr="00F70BF8" w:rsidRDefault="00311298" w:rsidP="00F70BF8">
      <w:pPr>
        <w:pStyle w:val="ListParagraph"/>
        <w:ind w:left="360"/>
        <w:contextualSpacing w:val="0"/>
        <w:jc w:val="both"/>
        <w:rPr>
          <w:rFonts w:asciiTheme="minorHAnsi" w:hAnsiTheme="minorHAnsi"/>
          <w:sz w:val="22"/>
          <w:szCs w:val="22"/>
        </w:rPr>
      </w:pPr>
    </w:p>
    <w:p w:rsidR="00311298" w:rsidRPr="00F70BF8" w:rsidRDefault="00311298" w:rsidP="00F70BF8">
      <w:pPr>
        <w:pStyle w:val="ListParagraph"/>
        <w:numPr>
          <w:ilvl w:val="0"/>
          <w:numId w:val="1"/>
        </w:numPr>
        <w:contextualSpacing w:val="0"/>
        <w:jc w:val="both"/>
        <w:rPr>
          <w:rFonts w:asciiTheme="minorHAnsi" w:hAnsiTheme="minorHAnsi"/>
          <w:sz w:val="22"/>
          <w:szCs w:val="22"/>
        </w:rPr>
      </w:pPr>
      <w:r w:rsidRPr="00F70BF8">
        <w:rPr>
          <w:rFonts w:asciiTheme="minorHAnsi" w:hAnsiTheme="minorHAnsi"/>
          <w:sz w:val="22"/>
          <w:szCs w:val="22"/>
        </w:rPr>
        <w:t>The focus will now shift to building whānau and family capability to self-manage.</w:t>
      </w:r>
    </w:p>
    <w:p w:rsidR="00311298" w:rsidRPr="00F70BF8" w:rsidRDefault="00311298" w:rsidP="00F70BF8">
      <w:pPr>
        <w:pStyle w:val="ListParagraph"/>
        <w:ind w:left="360"/>
        <w:contextualSpacing w:val="0"/>
        <w:jc w:val="both"/>
        <w:rPr>
          <w:rFonts w:asciiTheme="minorHAnsi" w:hAnsiTheme="minorHAnsi"/>
          <w:sz w:val="22"/>
          <w:szCs w:val="22"/>
        </w:rPr>
      </w:pPr>
    </w:p>
    <w:p w:rsidR="00311298" w:rsidRPr="00F70BF8" w:rsidRDefault="00311298" w:rsidP="00F70BF8">
      <w:pPr>
        <w:pStyle w:val="ListParagraph"/>
        <w:numPr>
          <w:ilvl w:val="0"/>
          <w:numId w:val="1"/>
        </w:numPr>
        <w:contextualSpacing w:val="0"/>
        <w:jc w:val="both"/>
        <w:rPr>
          <w:rFonts w:asciiTheme="minorHAnsi" w:hAnsiTheme="minorHAnsi"/>
          <w:sz w:val="22"/>
          <w:szCs w:val="22"/>
        </w:rPr>
      </w:pPr>
      <w:r w:rsidRPr="00F70BF8">
        <w:rPr>
          <w:rFonts w:asciiTheme="minorHAnsi" w:hAnsiTheme="minorHAnsi"/>
          <w:sz w:val="22"/>
          <w:szCs w:val="22"/>
        </w:rPr>
        <w:t>A non-government organisation (NGO)</w:t>
      </w:r>
      <w:r w:rsidR="00684764" w:rsidRPr="00F70BF8">
        <w:rPr>
          <w:rFonts w:asciiTheme="minorHAnsi" w:hAnsiTheme="minorHAnsi"/>
          <w:sz w:val="22"/>
          <w:szCs w:val="22"/>
        </w:rPr>
        <w:t xml:space="preserve"> ‘commissioning-for-</w:t>
      </w:r>
      <w:r w:rsidRPr="00F70BF8">
        <w:rPr>
          <w:rFonts w:asciiTheme="minorHAnsi" w:hAnsiTheme="minorHAnsi"/>
          <w:sz w:val="22"/>
          <w:szCs w:val="22"/>
        </w:rPr>
        <w:t>results’ model will support capability building for whānau and families.</w:t>
      </w:r>
    </w:p>
    <w:p w:rsidR="00311298" w:rsidRPr="00F70BF8" w:rsidRDefault="00311298" w:rsidP="00F70BF8">
      <w:pPr>
        <w:pStyle w:val="ListParagraph"/>
        <w:ind w:left="360"/>
        <w:contextualSpacing w:val="0"/>
        <w:jc w:val="both"/>
        <w:rPr>
          <w:rFonts w:asciiTheme="minorHAnsi" w:hAnsiTheme="minorHAnsi"/>
          <w:sz w:val="22"/>
          <w:szCs w:val="22"/>
        </w:rPr>
      </w:pPr>
    </w:p>
    <w:p w:rsidR="00311298" w:rsidRPr="00F70BF8" w:rsidRDefault="00311298" w:rsidP="00F70BF8">
      <w:pPr>
        <w:pStyle w:val="ListParagraph"/>
        <w:numPr>
          <w:ilvl w:val="0"/>
          <w:numId w:val="1"/>
        </w:numPr>
        <w:contextualSpacing w:val="0"/>
        <w:jc w:val="both"/>
        <w:rPr>
          <w:rFonts w:asciiTheme="minorHAnsi" w:hAnsiTheme="minorHAnsi"/>
          <w:sz w:val="22"/>
          <w:szCs w:val="22"/>
        </w:rPr>
      </w:pPr>
      <w:r w:rsidRPr="00F70BF8">
        <w:rPr>
          <w:rFonts w:asciiTheme="minorHAnsi" w:hAnsiTheme="minorHAnsi"/>
          <w:sz w:val="22"/>
          <w:szCs w:val="22"/>
        </w:rPr>
        <w:t>The Government has agreed to the establishment of three NGO commissioning agencies with:</w:t>
      </w:r>
    </w:p>
    <w:p w:rsidR="00311298" w:rsidRPr="00F70BF8" w:rsidRDefault="00311298" w:rsidP="00F70BF8">
      <w:pPr>
        <w:pStyle w:val="ListParagraph"/>
        <w:ind w:left="360"/>
        <w:contextualSpacing w:val="0"/>
        <w:jc w:val="both"/>
        <w:rPr>
          <w:rFonts w:asciiTheme="minorHAnsi" w:hAnsiTheme="minorHAnsi"/>
          <w:sz w:val="22"/>
          <w:szCs w:val="22"/>
        </w:rPr>
      </w:pPr>
    </w:p>
    <w:p w:rsidR="00311298" w:rsidRPr="00F70BF8" w:rsidRDefault="00311298" w:rsidP="00F70BF8">
      <w:pPr>
        <w:pStyle w:val="ListParagraph"/>
        <w:numPr>
          <w:ilvl w:val="0"/>
          <w:numId w:val="6"/>
        </w:numPr>
        <w:contextualSpacing w:val="0"/>
        <w:jc w:val="both"/>
        <w:rPr>
          <w:rFonts w:asciiTheme="minorHAnsi" w:hAnsiTheme="minorHAnsi"/>
          <w:sz w:val="22"/>
          <w:szCs w:val="22"/>
        </w:rPr>
      </w:pPr>
      <w:r w:rsidRPr="00F70BF8">
        <w:rPr>
          <w:rFonts w:asciiTheme="minorHAnsi" w:hAnsiTheme="minorHAnsi"/>
          <w:sz w:val="22"/>
          <w:szCs w:val="22"/>
        </w:rPr>
        <w:t>expertise and networks to build capability for whānau and families with a North island focus</w:t>
      </w:r>
    </w:p>
    <w:p w:rsidR="00311298" w:rsidRPr="00F70BF8" w:rsidRDefault="00311298" w:rsidP="00F70BF8">
      <w:pPr>
        <w:pStyle w:val="ListParagraph"/>
        <w:contextualSpacing w:val="0"/>
        <w:jc w:val="both"/>
        <w:rPr>
          <w:rFonts w:asciiTheme="minorHAnsi" w:hAnsiTheme="minorHAnsi"/>
          <w:sz w:val="22"/>
          <w:szCs w:val="22"/>
        </w:rPr>
      </w:pPr>
    </w:p>
    <w:p w:rsidR="00311298" w:rsidRPr="00F70BF8" w:rsidRDefault="00311298" w:rsidP="00F70BF8">
      <w:pPr>
        <w:pStyle w:val="ListParagraph"/>
        <w:numPr>
          <w:ilvl w:val="0"/>
          <w:numId w:val="6"/>
        </w:numPr>
        <w:contextualSpacing w:val="0"/>
        <w:jc w:val="both"/>
        <w:rPr>
          <w:rFonts w:asciiTheme="minorHAnsi" w:hAnsiTheme="minorHAnsi"/>
          <w:sz w:val="22"/>
          <w:szCs w:val="22"/>
        </w:rPr>
      </w:pPr>
      <w:r w:rsidRPr="00F70BF8">
        <w:rPr>
          <w:rFonts w:asciiTheme="minorHAnsi" w:hAnsiTheme="minorHAnsi"/>
          <w:sz w:val="22"/>
          <w:szCs w:val="22"/>
        </w:rPr>
        <w:t>expertise and networks to build capability for whānau and families with a South Island focus</w:t>
      </w:r>
    </w:p>
    <w:p w:rsidR="00311298" w:rsidRPr="00F70BF8" w:rsidRDefault="00311298" w:rsidP="00F70BF8">
      <w:pPr>
        <w:pStyle w:val="ListParagraph"/>
        <w:contextualSpacing w:val="0"/>
        <w:jc w:val="both"/>
        <w:rPr>
          <w:rFonts w:asciiTheme="minorHAnsi" w:hAnsiTheme="minorHAnsi"/>
          <w:sz w:val="22"/>
          <w:szCs w:val="22"/>
        </w:rPr>
      </w:pPr>
    </w:p>
    <w:p w:rsidR="00311298" w:rsidRPr="00F70BF8" w:rsidRDefault="00311298" w:rsidP="00F70BF8">
      <w:pPr>
        <w:pStyle w:val="ListParagraph"/>
        <w:numPr>
          <w:ilvl w:val="0"/>
          <w:numId w:val="6"/>
        </w:numPr>
        <w:contextualSpacing w:val="0"/>
        <w:jc w:val="both"/>
        <w:rPr>
          <w:rFonts w:asciiTheme="minorHAnsi" w:hAnsiTheme="minorHAnsi"/>
          <w:sz w:val="22"/>
          <w:szCs w:val="22"/>
        </w:rPr>
      </w:pPr>
      <w:proofErr w:type="gramStart"/>
      <w:r w:rsidRPr="00F70BF8">
        <w:rPr>
          <w:rFonts w:asciiTheme="minorHAnsi" w:hAnsiTheme="minorHAnsi"/>
          <w:sz w:val="22"/>
          <w:szCs w:val="22"/>
        </w:rPr>
        <w:t>expertise</w:t>
      </w:r>
      <w:proofErr w:type="gramEnd"/>
      <w:r w:rsidRPr="00F70BF8">
        <w:rPr>
          <w:rFonts w:asciiTheme="minorHAnsi" w:hAnsiTheme="minorHAnsi"/>
          <w:sz w:val="22"/>
          <w:szCs w:val="22"/>
        </w:rPr>
        <w:t xml:space="preserve"> and networks to build capability for Pacific families.</w:t>
      </w:r>
    </w:p>
    <w:p w:rsidR="00311298" w:rsidRPr="00F70BF8" w:rsidRDefault="00311298" w:rsidP="00F70BF8">
      <w:pPr>
        <w:pStyle w:val="ListParagraph"/>
        <w:ind w:left="360"/>
        <w:contextualSpacing w:val="0"/>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Suitable NGOs will be contracted to commission local-level whānau-centred initiatives through a range of entities.</w:t>
      </w:r>
    </w:p>
    <w:p w:rsidR="00311298" w:rsidRPr="00F70BF8" w:rsidRDefault="00311298" w:rsidP="00F70BF8">
      <w:pPr>
        <w:ind w:left="360"/>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Services or opportunities funded through the NGOs will be available to all New Zealand families.</w:t>
      </w:r>
    </w:p>
    <w:p w:rsidR="00311298" w:rsidRPr="00F70BF8" w:rsidRDefault="00311298" w:rsidP="00F70BF8">
      <w:pPr>
        <w:pStyle w:val="ListParagraph"/>
        <w:ind w:left="360"/>
        <w:contextualSpacing w:val="0"/>
        <w:jc w:val="both"/>
        <w:rPr>
          <w:rFonts w:asciiTheme="minorHAnsi" w:hAnsiTheme="minorHAnsi"/>
          <w:sz w:val="22"/>
          <w:szCs w:val="22"/>
        </w:rPr>
      </w:pPr>
    </w:p>
    <w:p w:rsidR="00311298" w:rsidRPr="00F70BF8" w:rsidRDefault="00311298" w:rsidP="00F70BF8">
      <w:pPr>
        <w:pStyle w:val="ListParagraph"/>
        <w:numPr>
          <w:ilvl w:val="0"/>
          <w:numId w:val="1"/>
        </w:numPr>
        <w:contextualSpacing w:val="0"/>
        <w:jc w:val="both"/>
        <w:rPr>
          <w:rFonts w:asciiTheme="minorHAnsi" w:hAnsiTheme="minorHAnsi"/>
          <w:sz w:val="22"/>
          <w:szCs w:val="22"/>
        </w:rPr>
      </w:pPr>
      <w:r w:rsidRPr="00F70BF8">
        <w:rPr>
          <w:rFonts w:asciiTheme="minorHAnsi" w:hAnsiTheme="minorHAnsi"/>
          <w:sz w:val="22"/>
          <w:szCs w:val="22"/>
        </w:rPr>
        <w:t>Key policy, structural and financial reforms will take place to support the commissioning approach.</w:t>
      </w:r>
    </w:p>
    <w:p w:rsidR="00311298" w:rsidRPr="00F70BF8" w:rsidRDefault="00311298" w:rsidP="00F70BF8">
      <w:pPr>
        <w:pStyle w:val="ListParagraph"/>
        <w:ind w:left="360"/>
        <w:contextualSpacing w:val="0"/>
        <w:jc w:val="both"/>
        <w:rPr>
          <w:rFonts w:asciiTheme="minorHAnsi" w:hAnsiTheme="minorHAnsi"/>
          <w:sz w:val="22"/>
          <w:szCs w:val="22"/>
        </w:rPr>
      </w:pPr>
    </w:p>
    <w:p w:rsidR="00311298" w:rsidRPr="00F70BF8" w:rsidRDefault="00311298" w:rsidP="00F70BF8">
      <w:pPr>
        <w:pStyle w:val="ListParagraph"/>
        <w:numPr>
          <w:ilvl w:val="0"/>
          <w:numId w:val="1"/>
        </w:numPr>
        <w:contextualSpacing w:val="0"/>
        <w:jc w:val="both"/>
        <w:rPr>
          <w:rFonts w:asciiTheme="minorHAnsi" w:hAnsiTheme="minorHAnsi"/>
          <w:sz w:val="22"/>
          <w:szCs w:val="22"/>
        </w:rPr>
      </w:pPr>
      <w:r w:rsidRPr="00F70BF8">
        <w:rPr>
          <w:rFonts w:asciiTheme="minorHAnsi" w:hAnsiTheme="minorHAnsi"/>
          <w:sz w:val="22"/>
          <w:szCs w:val="22"/>
        </w:rPr>
        <w:t>These reforms will include changes to governance with the establishment of a Whānau Ora Partnership Group comprising Crown, iwi and expert advisors.</w:t>
      </w:r>
    </w:p>
    <w:p w:rsidR="00311298" w:rsidRPr="00F70BF8" w:rsidRDefault="00311298" w:rsidP="00F70BF8">
      <w:pPr>
        <w:pStyle w:val="ListParagraph"/>
        <w:ind w:left="360"/>
        <w:contextualSpacing w:val="0"/>
        <w:jc w:val="both"/>
        <w:rPr>
          <w:rFonts w:asciiTheme="minorHAnsi" w:hAnsiTheme="minorHAnsi"/>
          <w:sz w:val="22"/>
          <w:szCs w:val="22"/>
        </w:rPr>
      </w:pPr>
    </w:p>
    <w:p w:rsidR="00311298" w:rsidRPr="00F70BF8" w:rsidRDefault="00311298" w:rsidP="00F70BF8">
      <w:pPr>
        <w:pStyle w:val="ListParagraph"/>
        <w:numPr>
          <w:ilvl w:val="0"/>
          <w:numId w:val="1"/>
        </w:numPr>
        <w:contextualSpacing w:val="0"/>
        <w:jc w:val="both"/>
        <w:rPr>
          <w:rFonts w:asciiTheme="minorHAnsi" w:hAnsiTheme="minorHAnsi"/>
          <w:sz w:val="22"/>
          <w:szCs w:val="22"/>
        </w:rPr>
      </w:pPr>
      <w:r w:rsidRPr="00F70BF8">
        <w:rPr>
          <w:rFonts w:asciiTheme="minorHAnsi" w:hAnsiTheme="minorHAnsi"/>
          <w:sz w:val="22"/>
          <w:szCs w:val="22"/>
        </w:rPr>
        <w:t>Te Puni Kōkiri will continue to be the administering department for Whānau Ora.</w:t>
      </w:r>
    </w:p>
    <w:p w:rsidR="00311298" w:rsidRPr="00F70BF8" w:rsidRDefault="00311298" w:rsidP="00F70BF8">
      <w:pPr>
        <w:pStyle w:val="ListParagraph"/>
        <w:ind w:left="360"/>
        <w:contextualSpacing w:val="0"/>
        <w:jc w:val="both"/>
        <w:rPr>
          <w:rFonts w:asciiTheme="minorHAnsi" w:hAnsiTheme="minorHAnsi"/>
          <w:sz w:val="22"/>
          <w:szCs w:val="22"/>
        </w:rPr>
      </w:pPr>
    </w:p>
    <w:p w:rsidR="00311298" w:rsidRPr="00F70BF8" w:rsidRDefault="00311298" w:rsidP="00F70BF8">
      <w:pPr>
        <w:pStyle w:val="ListParagraph"/>
        <w:numPr>
          <w:ilvl w:val="0"/>
          <w:numId w:val="1"/>
        </w:numPr>
        <w:contextualSpacing w:val="0"/>
        <w:jc w:val="both"/>
        <w:rPr>
          <w:rFonts w:asciiTheme="minorHAnsi" w:hAnsiTheme="minorHAnsi"/>
          <w:sz w:val="22"/>
          <w:szCs w:val="22"/>
        </w:rPr>
      </w:pPr>
      <w:r w:rsidRPr="00F70BF8">
        <w:rPr>
          <w:rFonts w:asciiTheme="minorHAnsi" w:hAnsiTheme="minorHAnsi"/>
          <w:sz w:val="22"/>
          <w:szCs w:val="22"/>
        </w:rPr>
        <w:t>Effective service provision remains an important core element and will be supported by Te Puni Kōkiri and partner agencies.</w:t>
      </w:r>
    </w:p>
    <w:p w:rsidR="00311298" w:rsidRPr="00F70BF8" w:rsidRDefault="00311298" w:rsidP="00F70BF8">
      <w:pPr>
        <w:pStyle w:val="ListParagraph"/>
        <w:ind w:left="360"/>
        <w:contextualSpacing w:val="0"/>
        <w:jc w:val="both"/>
        <w:rPr>
          <w:rFonts w:asciiTheme="minorHAnsi" w:hAnsiTheme="minorHAnsi"/>
          <w:sz w:val="22"/>
          <w:szCs w:val="22"/>
        </w:rPr>
      </w:pPr>
    </w:p>
    <w:p w:rsidR="00311298" w:rsidRPr="00F70BF8" w:rsidRDefault="00311298" w:rsidP="00F70BF8">
      <w:pPr>
        <w:pStyle w:val="ListParagraph"/>
        <w:numPr>
          <w:ilvl w:val="0"/>
          <w:numId w:val="1"/>
        </w:numPr>
        <w:contextualSpacing w:val="0"/>
        <w:jc w:val="both"/>
        <w:rPr>
          <w:rFonts w:asciiTheme="minorHAnsi" w:hAnsiTheme="minorHAnsi"/>
          <w:sz w:val="22"/>
          <w:szCs w:val="22"/>
        </w:rPr>
      </w:pPr>
      <w:r w:rsidRPr="00F70BF8">
        <w:rPr>
          <w:rFonts w:asciiTheme="minorHAnsi" w:hAnsiTheme="minorHAnsi"/>
          <w:sz w:val="22"/>
          <w:szCs w:val="22"/>
        </w:rPr>
        <w:t>Existing Whānau Ora commitments will be administered until completion along with aligned measurement activity to capture the whānau-level impact of these investments.</w:t>
      </w:r>
    </w:p>
    <w:p w:rsidR="00311298" w:rsidRPr="00F70BF8" w:rsidRDefault="00311298" w:rsidP="00F70BF8">
      <w:pPr>
        <w:pStyle w:val="ListParagraph"/>
        <w:ind w:left="360"/>
        <w:contextualSpacing w:val="0"/>
        <w:jc w:val="both"/>
        <w:rPr>
          <w:rFonts w:asciiTheme="minorHAnsi" w:hAnsiTheme="minorHAnsi"/>
          <w:sz w:val="22"/>
          <w:szCs w:val="22"/>
        </w:rPr>
      </w:pPr>
    </w:p>
    <w:p w:rsidR="00311298" w:rsidRPr="00F70BF8" w:rsidRDefault="00311298" w:rsidP="00F70BF8">
      <w:pPr>
        <w:pStyle w:val="ListParagraph"/>
        <w:numPr>
          <w:ilvl w:val="0"/>
          <w:numId w:val="1"/>
        </w:numPr>
        <w:contextualSpacing w:val="0"/>
        <w:jc w:val="both"/>
        <w:rPr>
          <w:rFonts w:asciiTheme="minorHAnsi" w:hAnsiTheme="minorHAnsi"/>
          <w:sz w:val="22"/>
          <w:szCs w:val="22"/>
        </w:rPr>
      </w:pPr>
      <w:r w:rsidRPr="00F70BF8">
        <w:rPr>
          <w:rFonts w:asciiTheme="minorHAnsi" w:hAnsiTheme="minorHAnsi"/>
          <w:sz w:val="22"/>
          <w:szCs w:val="22"/>
        </w:rPr>
        <w:t>There will be a phased transition to the next phase of implementation.</w:t>
      </w:r>
    </w:p>
    <w:p w:rsidR="00311298" w:rsidRPr="00F70BF8" w:rsidRDefault="00311298" w:rsidP="00F70BF8">
      <w:pPr>
        <w:pStyle w:val="ListParagraph"/>
        <w:ind w:left="360"/>
        <w:contextualSpacing w:val="0"/>
        <w:jc w:val="both"/>
        <w:rPr>
          <w:rFonts w:asciiTheme="minorHAnsi" w:hAnsiTheme="minorHAnsi"/>
          <w:sz w:val="22"/>
          <w:szCs w:val="22"/>
        </w:rPr>
      </w:pPr>
    </w:p>
    <w:p w:rsidR="00311298" w:rsidRPr="00F70BF8" w:rsidRDefault="00311298" w:rsidP="00F70BF8">
      <w:pPr>
        <w:pStyle w:val="ListParagraph"/>
        <w:numPr>
          <w:ilvl w:val="0"/>
          <w:numId w:val="1"/>
        </w:numPr>
        <w:contextualSpacing w:val="0"/>
        <w:jc w:val="both"/>
        <w:rPr>
          <w:rFonts w:asciiTheme="minorHAnsi" w:hAnsiTheme="minorHAnsi"/>
          <w:sz w:val="22"/>
          <w:szCs w:val="22"/>
        </w:rPr>
      </w:pPr>
      <w:r w:rsidRPr="00F70BF8">
        <w:rPr>
          <w:rFonts w:asciiTheme="minorHAnsi" w:hAnsiTheme="minorHAnsi"/>
          <w:sz w:val="22"/>
          <w:szCs w:val="22"/>
        </w:rPr>
        <w:t>Changes will be resourced within existing budgets.</w:t>
      </w:r>
    </w:p>
    <w:p w:rsidR="00311298" w:rsidRPr="00F70BF8" w:rsidRDefault="00311298" w:rsidP="00F70BF8">
      <w:pPr>
        <w:pStyle w:val="ListParagraph"/>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NGOs will be selected through a fair, efficient and competitive procurement process.</w:t>
      </w:r>
    </w:p>
    <w:p w:rsidR="00311298" w:rsidRPr="00F70BF8" w:rsidRDefault="00311298" w:rsidP="00F70BF8">
      <w:pPr>
        <w:pStyle w:val="ListParagraph"/>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 xml:space="preserve">It is anticipated that the commissioning agencies will be operational – completing a limited funding round – by the end of June 2014.  </w:t>
      </w:r>
    </w:p>
    <w:p w:rsidR="00311298" w:rsidRPr="00F70BF8" w:rsidRDefault="00311298" w:rsidP="00F70BF8">
      <w:pPr>
        <w:pStyle w:val="ListParagraph"/>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The establishment, funding and transition period is estimated to take up to 24 months.</w:t>
      </w:r>
    </w:p>
    <w:p w:rsidR="00311298" w:rsidRPr="00F70BF8" w:rsidRDefault="00311298" w:rsidP="00F70BF8">
      <w:pPr>
        <w:jc w:val="both"/>
        <w:rPr>
          <w:rFonts w:asciiTheme="minorHAnsi" w:hAnsiTheme="minorHAnsi" w:cs="Arial"/>
          <w:b/>
          <w:sz w:val="28"/>
          <w:szCs w:val="28"/>
        </w:rPr>
      </w:pPr>
      <w:r w:rsidRPr="00F70BF8">
        <w:rPr>
          <w:rFonts w:asciiTheme="minorHAnsi" w:hAnsiTheme="minorHAnsi" w:cs="Arial"/>
          <w:b/>
          <w:noProof/>
          <w:sz w:val="28"/>
          <w:szCs w:val="28"/>
          <w:lang w:eastAsia="en-NZ"/>
        </w:rPr>
        <w:lastRenderedPageBreak/>
        <w:t>Overview</w:t>
      </w:r>
    </w:p>
    <w:p w:rsidR="00311298" w:rsidRPr="00F70BF8" w:rsidRDefault="00F82028" w:rsidP="00F70BF8">
      <w:pPr>
        <w:jc w:val="both"/>
        <w:rPr>
          <w:rFonts w:asciiTheme="minorHAnsi" w:hAnsiTheme="minorHAnsi"/>
          <w:sz w:val="22"/>
          <w:szCs w:val="22"/>
        </w:rPr>
      </w:pPr>
      <w:r>
        <w:rPr>
          <w:rFonts w:asciiTheme="minorHAnsi" w:hAnsiTheme="minorHAnsi"/>
          <w:sz w:val="16"/>
          <w:szCs w:val="16"/>
        </w:rPr>
        <w:pict>
          <v:rect id="_x0000_i1032" style="width:415.65pt;height:1.5pt" o:hralign="center" o:hrstd="t" o:hr="t" fillcolor="#aca899" stroked="f"/>
        </w:pict>
      </w:r>
    </w:p>
    <w:p w:rsidR="00311298" w:rsidRPr="00F70BF8" w:rsidRDefault="00311298" w:rsidP="00F70BF8">
      <w:pPr>
        <w:pStyle w:val="ListParagraph"/>
        <w:ind w:left="360"/>
        <w:jc w:val="both"/>
        <w:rPr>
          <w:rFonts w:asciiTheme="minorHAnsi" w:hAnsiTheme="minorHAnsi"/>
          <w:sz w:val="16"/>
          <w:szCs w:val="16"/>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Since its inception in 2010, the Government's investment in Whānau Ora has focused on achieving outcomes for whānau and families through service and organisational transformation – of provider collectives – as well as whānau integration, innovation and engagement.</w:t>
      </w:r>
    </w:p>
    <w:p w:rsidR="00311298" w:rsidRPr="00F70BF8" w:rsidRDefault="00311298" w:rsidP="00F70BF8">
      <w:pPr>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 xml:space="preserve">Assisting whānau and families to achieve their goals and aspirations requires a dual pathway: effective service provision and an up-lift in whānau and family capability. </w:t>
      </w:r>
    </w:p>
    <w:p w:rsidR="00311298" w:rsidRPr="00F70BF8" w:rsidRDefault="00311298" w:rsidP="00F70BF8">
      <w:pPr>
        <w:pStyle w:val="ListParagraph"/>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With whānau-centred service delivery progressing well, the Government will now broaden the scope of Whānau Ora to focus on more direct support for whānau and family capability building.</w:t>
      </w:r>
    </w:p>
    <w:p w:rsidR="00311298" w:rsidRPr="00F70BF8" w:rsidRDefault="00311298" w:rsidP="00F70BF8">
      <w:pPr>
        <w:pStyle w:val="ListParagraph"/>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 xml:space="preserve">This direct investment in building whānau and family capability requires a flexible delivery mechanism which is located closer to whānau, families and communities. </w:t>
      </w:r>
    </w:p>
    <w:p w:rsidR="00311298" w:rsidRPr="00F70BF8" w:rsidRDefault="00311298" w:rsidP="00F70BF8">
      <w:pPr>
        <w:pStyle w:val="ListParagraph"/>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 xml:space="preserve">As part of a wide-ranging review, a number of options for the future delivery of Whānau Ora have been considered. </w:t>
      </w:r>
    </w:p>
    <w:p w:rsidR="00311298" w:rsidRPr="00F70BF8" w:rsidRDefault="00311298" w:rsidP="00F70BF8">
      <w:pPr>
        <w:pStyle w:val="ListParagraph"/>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 xml:space="preserve">Contracting the delivery of commissioning agency functions from non-government organisations (NGOs) has been selected as the new model. </w:t>
      </w:r>
    </w:p>
    <w:p w:rsidR="00311298" w:rsidRPr="00F70BF8" w:rsidRDefault="00311298" w:rsidP="00F70BF8">
      <w:pPr>
        <w:pStyle w:val="ListParagraph"/>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The Government has agreed to the establishment of three NGO commissioning agencies with:</w:t>
      </w:r>
    </w:p>
    <w:p w:rsidR="00311298" w:rsidRPr="00F70BF8" w:rsidRDefault="00311298" w:rsidP="00F70BF8">
      <w:pPr>
        <w:pStyle w:val="ListParagraph"/>
        <w:ind w:left="360"/>
        <w:jc w:val="both"/>
        <w:rPr>
          <w:rFonts w:asciiTheme="minorHAnsi" w:hAnsiTheme="minorHAnsi"/>
          <w:sz w:val="22"/>
          <w:szCs w:val="22"/>
        </w:rPr>
      </w:pPr>
    </w:p>
    <w:p w:rsidR="00311298" w:rsidRPr="00F70BF8" w:rsidRDefault="00311298" w:rsidP="00F70BF8">
      <w:pPr>
        <w:pStyle w:val="ListParagraph"/>
        <w:numPr>
          <w:ilvl w:val="0"/>
          <w:numId w:val="6"/>
        </w:numPr>
        <w:jc w:val="both"/>
        <w:rPr>
          <w:rFonts w:asciiTheme="minorHAnsi" w:hAnsiTheme="minorHAnsi"/>
          <w:sz w:val="22"/>
          <w:szCs w:val="22"/>
        </w:rPr>
      </w:pPr>
      <w:r w:rsidRPr="00F70BF8">
        <w:rPr>
          <w:rFonts w:asciiTheme="minorHAnsi" w:hAnsiTheme="minorHAnsi"/>
          <w:sz w:val="22"/>
          <w:szCs w:val="22"/>
        </w:rPr>
        <w:t>a North Island focus</w:t>
      </w:r>
    </w:p>
    <w:p w:rsidR="00311298" w:rsidRPr="00F70BF8" w:rsidRDefault="00311298" w:rsidP="00F70BF8">
      <w:pPr>
        <w:pStyle w:val="ListParagraph"/>
        <w:jc w:val="both"/>
        <w:rPr>
          <w:rFonts w:asciiTheme="minorHAnsi" w:hAnsiTheme="minorHAnsi"/>
          <w:sz w:val="22"/>
          <w:szCs w:val="22"/>
        </w:rPr>
      </w:pPr>
    </w:p>
    <w:p w:rsidR="00311298" w:rsidRPr="00F70BF8" w:rsidRDefault="00311298" w:rsidP="00F70BF8">
      <w:pPr>
        <w:pStyle w:val="ListParagraph"/>
        <w:numPr>
          <w:ilvl w:val="0"/>
          <w:numId w:val="6"/>
        </w:numPr>
        <w:jc w:val="both"/>
        <w:rPr>
          <w:rFonts w:asciiTheme="minorHAnsi" w:hAnsiTheme="minorHAnsi"/>
          <w:sz w:val="22"/>
          <w:szCs w:val="22"/>
        </w:rPr>
      </w:pPr>
      <w:r w:rsidRPr="00F70BF8">
        <w:rPr>
          <w:rFonts w:asciiTheme="minorHAnsi" w:hAnsiTheme="minorHAnsi"/>
          <w:sz w:val="22"/>
          <w:szCs w:val="22"/>
        </w:rPr>
        <w:t>a South Island focus</w:t>
      </w:r>
    </w:p>
    <w:p w:rsidR="00311298" w:rsidRPr="00F70BF8" w:rsidRDefault="00311298" w:rsidP="00F70BF8">
      <w:pPr>
        <w:pStyle w:val="ListParagraph"/>
        <w:jc w:val="both"/>
        <w:rPr>
          <w:rFonts w:asciiTheme="minorHAnsi" w:hAnsiTheme="minorHAnsi"/>
          <w:sz w:val="22"/>
          <w:szCs w:val="22"/>
        </w:rPr>
      </w:pPr>
    </w:p>
    <w:p w:rsidR="00311298" w:rsidRPr="00F70BF8" w:rsidRDefault="00311298" w:rsidP="00F70BF8">
      <w:pPr>
        <w:pStyle w:val="ListParagraph"/>
        <w:numPr>
          <w:ilvl w:val="0"/>
          <w:numId w:val="6"/>
        </w:numPr>
        <w:jc w:val="both"/>
        <w:rPr>
          <w:rFonts w:asciiTheme="minorHAnsi" w:hAnsiTheme="minorHAnsi"/>
          <w:sz w:val="22"/>
          <w:szCs w:val="22"/>
        </w:rPr>
      </w:pPr>
      <w:proofErr w:type="gramStart"/>
      <w:r w:rsidRPr="00F70BF8">
        <w:rPr>
          <w:rFonts w:asciiTheme="minorHAnsi" w:hAnsiTheme="minorHAnsi"/>
          <w:sz w:val="22"/>
          <w:szCs w:val="22"/>
        </w:rPr>
        <w:t>expertise</w:t>
      </w:r>
      <w:proofErr w:type="gramEnd"/>
      <w:r w:rsidRPr="00F70BF8">
        <w:rPr>
          <w:rFonts w:asciiTheme="minorHAnsi" w:hAnsiTheme="minorHAnsi"/>
          <w:sz w:val="22"/>
          <w:szCs w:val="22"/>
        </w:rPr>
        <w:t xml:space="preserve"> and networks to build capability for Pacific families.</w:t>
      </w:r>
    </w:p>
    <w:p w:rsidR="00311298" w:rsidRPr="00F70BF8" w:rsidRDefault="00311298" w:rsidP="00F70BF8">
      <w:pPr>
        <w:pStyle w:val="ListParagraph"/>
        <w:ind w:left="360"/>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 xml:space="preserve">This delivery model and supporting institutional reforms are a significant departure from the existing model. </w:t>
      </w:r>
    </w:p>
    <w:p w:rsidR="00311298" w:rsidRPr="00F70BF8" w:rsidRDefault="00311298" w:rsidP="00F70BF8">
      <w:pPr>
        <w:pStyle w:val="ListParagraph"/>
        <w:ind w:left="360"/>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Given the scope of the changes, a phased approach for the procurement, establishment and transition of the commissioning NGO agencies will be undertaken.</w:t>
      </w:r>
    </w:p>
    <w:p w:rsidR="00311298" w:rsidRPr="00F70BF8" w:rsidRDefault="00311298" w:rsidP="00F70BF8">
      <w:pPr>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It is anticipated that the commissioning agencies will be operational – completing a limited funding round – by the end of June 2014. The establishment, funding and transition period is estimated to take up to 24 months.</w:t>
      </w:r>
    </w:p>
    <w:p w:rsidR="00311298" w:rsidRPr="00F70BF8" w:rsidRDefault="00311298" w:rsidP="00F70BF8">
      <w:pPr>
        <w:pStyle w:val="ListParagraph"/>
        <w:ind w:left="360"/>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 xml:space="preserve">Effective service delivery will continue to remain a core element of Whānau Ora over the next two years. </w:t>
      </w:r>
    </w:p>
    <w:p w:rsidR="00311298" w:rsidRPr="00F70BF8" w:rsidRDefault="00311298" w:rsidP="00F70BF8">
      <w:pPr>
        <w:pStyle w:val="ListParagraph"/>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Service capability contracts with 34 provider collectives – and aligned measurement activity including action research – will remain with Te Puni Kōkiri for administration through to completion.</w:t>
      </w:r>
    </w:p>
    <w:p w:rsidR="00311298" w:rsidRPr="00F70BF8" w:rsidRDefault="00311298" w:rsidP="00F70BF8">
      <w:pPr>
        <w:pStyle w:val="ListParagraph"/>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 xml:space="preserve">Transition activities as well as the </w:t>
      </w:r>
      <w:proofErr w:type="spellStart"/>
      <w:r w:rsidRPr="00F70BF8">
        <w:rPr>
          <w:rFonts w:asciiTheme="minorHAnsi" w:hAnsiTheme="minorHAnsi"/>
          <w:sz w:val="22"/>
          <w:szCs w:val="22"/>
        </w:rPr>
        <w:t>ongoing</w:t>
      </w:r>
      <w:proofErr w:type="spellEnd"/>
      <w:r w:rsidRPr="00F70BF8">
        <w:rPr>
          <w:rFonts w:asciiTheme="minorHAnsi" w:hAnsiTheme="minorHAnsi"/>
          <w:sz w:val="22"/>
          <w:szCs w:val="22"/>
        </w:rPr>
        <w:t xml:space="preserve"> delivery of Whānau Ora will be undertaken within existing budgets.</w:t>
      </w:r>
    </w:p>
    <w:p w:rsidR="00311298" w:rsidRPr="00F70BF8" w:rsidRDefault="00311298" w:rsidP="00F70BF8">
      <w:pPr>
        <w:pStyle w:val="ListParagraph"/>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Stakeholders will be kept well informed about the transitioning arrangements to the commissioning approach including the management of existing funding and other commitments.</w:t>
      </w:r>
    </w:p>
    <w:p w:rsidR="00311298" w:rsidRPr="00F70BF8" w:rsidRDefault="00311298" w:rsidP="00F70BF8">
      <w:pPr>
        <w:jc w:val="both"/>
        <w:rPr>
          <w:rFonts w:asciiTheme="minorHAnsi" w:hAnsiTheme="minorHAnsi"/>
          <w:b/>
          <w:sz w:val="22"/>
          <w:szCs w:val="22"/>
        </w:rPr>
      </w:pPr>
    </w:p>
    <w:p w:rsidR="00311298" w:rsidRPr="00F70BF8" w:rsidRDefault="00311298" w:rsidP="00F70BF8">
      <w:pPr>
        <w:jc w:val="both"/>
        <w:rPr>
          <w:rFonts w:asciiTheme="minorHAnsi" w:hAnsiTheme="minorHAnsi"/>
          <w:b/>
          <w:sz w:val="28"/>
          <w:szCs w:val="28"/>
        </w:rPr>
      </w:pPr>
      <w:r w:rsidRPr="00F70BF8">
        <w:rPr>
          <w:rFonts w:asciiTheme="minorHAnsi" w:hAnsiTheme="minorHAnsi"/>
          <w:b/>
          <w:sz w:val="28"/>
          <w:szCs w:val="28"/>
        </w:rPr>
        <w:lastRenderedPageBreak/>
        <w:t>Commissioning Model</w:t>
      </w:r>
    </w:p>
    <w:p w:rsidR="00311298" w:rsidRPr="00F70BF8" w:rsidRDefault="00F82028" w:rsidP="00F70BF8">
      <w:pPr>
        <w:jc w:val="both"/>
        <w:rPr>
          <w:rFonts w:asciiTheme="minorHAnsi" w:hAnsiTheme="minorHAnsi"/>
          <w:sz w:val="22"/>
          <w:szCs w:val="22"/>
        </w:rPr>
      </w:pPr>
      <w:r>
        <w:rPr>
          <w:rFonts w:asciiTheme="minorHAnsi" w:hAnsiTheme="minorHAnsi"/>
          <w:sz w:val="22"/>
          <w:szCs w:val="22"/>
        </w:rPr>
        <w:pict>
          <v:rect id="_x0000_i1033" style="width:415.65pt;height:1.5pt" o:hralign="center" o:hrstd="t" o:hr="t" fillcolor="#aca899" stroked="f"/>
        </w:pict>
      </w:r>
    </w:p>
    <w:p w:rsidR="00311298" w:rsidRPr="00F70BF8" w:rsidRDefault="00311298" w:rsidP="00F70BF8">
      <w:pPr>
        <w:pStyle w:val="ListParagraph"/>
        <w:ind w:left="360"/>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 xml:space="preserve">NGOs with the knowledge, expertise and networks to build capability for whānau and families will be selected through a fair, efficient and competitive procurement process. </w:t>
      </w:r>
    </w:p>
    <w:p w:rsidR="00311298" w:rsidRPr="00F70BF8" w:rsidRDefault="00311298" w:rsidP="00F70BF8">
      <w:pPr>
        <w:pStyle w:val="ListParagraph"/>
        <w:ind w:left="360"/>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The commissioning agencies will be contracted to fund and support initiatives which complement or achieve the Government’s Whānau Ora outcomes.</w:t>
      </w:r>
    </w:p>
    <w:p w:rsidR="00311298" w:rsidRPr="00F70BF8" w:rsidRDefault="00311298" w:rsidP="00F70BF8">
      <w:pPr>
        <w:pStyle w:val="ListParagraph"/>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Selected NGOs will commission innovative local-level programmes that best meet the needs of whānau and families from a range of community entities such as Whānau Ora provider collectives, iwi, marae, church groups, land trusts or community organisations.</w:t>
      </w:r>
    </w:p>
    <w:p w:rsidR="00311298" w:rsidRPr="00F70BF8" w:rsidRDefault="00311298" w:rsidP="00F70BF8">
      <w:pPr>
        <w:pStyle w:val="ListParagraph"/>
        <w:jc w:val="both"/>
        <w:rPr>
          <w:rFonts w:asciiTheme="minorHAnsi" w:hAnsiTheme="minorHAnsi"/>
          <w:sz w:val="22"/>
          <w:szCs w:val="22"/>
        </w:rPr>
      </w:pPr>
    </w:p>
    <w:p w:rsidR="00C43856"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 xml:space="preserve">Acting as brokers, the NGOs will match the needs and aspirations of whānau and families with initiatives that will assist them to increase their capability. </w:t>
      </w:r>
    </w:p>
    <w:p w:rsidR="00C43856" w:rsidRPr="00F70BF8" w:rsidRDefault="00C43856" w:rsidP="00F70BF8">
      <w:pPr>
        <w:pStyle w:val="ListParagraph"/>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The NGOs will identify these needs using its networks and reach into communities but will not be a 'shop front' through which whānau and families seek services directly.</w:t>
      </w:r>
    </w:p>
    <w:p w:rsidR="00311298" w:rsidRPr="00F70BF8" w:rsidRDefault="00311298" w:rsidP="00F70BF8">
      <w:pPr>
        <w:pStyle w:val="ListParagraph"/>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Examples of capability domains include income generation and financial literacy; employability; technological literacy; healthy lifestyles and health literacy; engagement in lifelong learning; communication; manaakitanga</w:t>
      </w:r>
      <w:r w:rsidR="002C2500" w:rsidRPr="00F70BF8">
        <w:rPr>
          <w:rFonts w:asciiTheme="minorHAnsi" w:hAnsiTheme="minorHAnsi"/>
          <w:sz w:val="22"/>
          <w:szCs w:val="22"/>
        </w:rPr>
        <w:t xml:space="preserve"> or care-giving</w:t>
      </w:r>
      <w:r w:rsidRPr="00F70BF8">
        <w:rPr>
          <w:rFonts w:asciiTheme="minorHAnsi" w:hAnsiTheme="minorHAnsi"/>
          <w:sz w:val="22"/>
          <w:szCs w:val="22"/>
        </w:rPr>
        <w:t>; a</w:t>
      </w:r>
      <w:r w:rsidR="002C2500" w:rsidRPr="00F70BF8">
        <w:rPr>
          <w:rFonts w:asciiTheme="minorHAnsi" w:hAnsiTheme="minorHAnsi"/>
          <w:sz w:val="22"/>
          <w:szCs w:val="22"/>
        </w:rPr>
        <w:t xml:space="preserve">nd cultural such as language and </w:t>
      </w:r>
      <w:r w:rsidRPr="00F70BF8">
        <w:rPr>
          <w:rFonts w:asciiTheme="minorHAnsi" w:hAnsiTheme="minorHAnsi"/>
          <w:sz w:val="22"/>
          <w:szCs w:val="22"/>
        </w:rPr>
        <w:t>customs, literacy and engagement.</w:t>
      </w:r>
    </w:p>
    <w:p w:rsidR="00311298" w:rsidRPr="00F70BF8" w:rsidRDefault="00311298" w:rsidP="00F70BF8">
      <w:pPr>
        <w:pStyle w:val="ListParagraph"/>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Services or opportunities funded through the NGOs will be available to all New Zealand families.</w:t>
      </w:r>
    </w:p>
    <w:p w:rsidR="00311298" w:rsidRPr="00F70BF8" w:rsidRDefault="00311298" w:rsidP="00F70BF8">
      <w:pPr>
        <w:pStyle w:val="ListParagraph"/>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The core functions of the commissioning agencies are</w:t>
      </w:r>
      <w:r w:rsidR="004C3179" w:rsidRPr="00F70BF8">
        <w:rPr>
          <w:rFonts w:asciiTheme="minorHAnsi" w:hAnsiTheme="minorHAnsi"/>
          <w:sz w:val="22"/>
          <w:szCs w:val="22"/>
        </w:rPr>
        <w:t xml:space="preserve"> </w:t>
      </w:r>
      <w:r w:rsidRPr="00F70BF8">
        <w:rPr>
          <w:rFonts w:asciiTheme="minorHAnsi" w:hAnsiTheme="minorHAnsi"/>
          <w:sz w:val="22"/>
          <w:szCs w:val="22"/>
        </w:rPr>
        <w:t>likely to include:</w:t>
      </w:r>
    </w:p>
    <w:p w:rsidR="00311298" w:rsidRPr="00F70BF8" w:rsidRDefault="00311298" w:rsidP="00F70BF8">
      <w:pPr>
        <w:pStyle w:val="ListParagraph"/>
        <w:jc w:val="both"/>
        <w:rPr>
          <w:rFonts w:asciiTheme="minorHAnsi" w:hAnsiTheme="minorHAnsi"/>
          <w:sz w:val="22"/>
          <w:szCs w:val="22"/>
        </w:rPr>
      </w:pPr>
    </w:p>
    <w:p w:rsidR="00311298" w:rsidRPr="00F70BF8" w:rsidRDefault="00311298" w:rsidP="00F70BF8">
      <w:pPr>
        <w:pStyle w:val="ListParagraph"/>
        <w:numPr>
          <w:ilvl w:val="0"/>
          <w:numId w:val="3"/>
        </w:numPr>
        <w:jc w:val="both"/>
        <w:rPr>
          <w:rFonts w:asciiTheme="minorHAnsi" w:hAnsiTheme="minorHAnsi"/>
          <w:sz w:val="22"/>
          <w:szCs w:val="22"/>
        </w:rPr>
      </w:pPr>
      <w:r w:rsidRPr="00F70BF8">
        <w:rPr>
          <w:rFonts w:asciiTheme="minorHAnsi" w:hAnsiTheme="minorHAnsi"/>
          <w:sz w:val="22"/>
          <w:szCs w:val="22"/>
        </w:rPr>
        <w:t>development of an investment strategy and annual commissioning plan for building whānau and family capability</w:t>
      </w:r>
    </w:p>
    <w:p w:rsidR="00311298" w:rsidRPr="00F70BF8" w:rsidRDefault="00311298" w:rsidP="00F70BF8">
      <w:pPr>
        <w:jc w:val="both"/>
        <w:rPr>
          <w:rFonts w:asciiTheme="minorHAnsi" w:hAnsiTheme="minorHAnsi"/>
          <w:sz w:val="22"/>
          <w:szCs w:val="22"/>
        </w:rPr>
      </w:pPr>
    </w:p>
    <w:p w:rsidR="00311298" w:rsidRPr="00F70BF8" w:rsidRDefault="00311298" w:rsidP="00F70BF8">
      <w:pPr>
        <w:pStyle w:val="ListParagraph"/>
        <w:numPr>
          <w:ilvl w:val="0"/>
          <w:numId w:val="3"/>
        </w:numPr>
        <w:jc w:val="both"/>
        <w:rPr>
          <w:rFonts w:asciiTheme="minorHAnsi" w:hAnsiTheme="minorHAnsi"/>
          <w:sz w:val="22"/>
          <w:szCs w:val="22"/>
        </w:rPr>
      </w:pPr>
      <w:r w:rsidRPr="00F70BF8">
        <w:rPr>
          <w:rFonts w:asciiTheme="minorHAnsi" w:hAnsiTheme="minorHAnsi"/>
          <w:sz w:val="22"/>
          <w:szCs w:val="22"/>
        </w:rPr>
        <w:t>commissioning initiatives and programmes or delivery models, and contracting for these at a regional and/or target population level</w:t>
      </w:r>
    </w:p>
    <w:p w:rsidR="00311298" w:rsidRPr="00F70BF8" w:rsidRDefault="00311298" w:rsidP="00F70BF8">
      <w:pPr>
        <w:pStyle w:val="ListParagraph"/>
        <w:jc w:val="both"/>
        <w:rPr>
          <w:rFonts w:asciiTheme="minorHAnsi" w:hAnsiTheme="minorHAnsi"/>
          <w:sz w:val="22"/>
          <w:szCs w:val="22"/>
        </w:rPr>
      </w:pPr>
    </w:p>
    <w:p w:rsidR="00311298" w:rsidRPr="00F70BF8" w:rsidRDefault="00311298" w:rsidP="00F70BF8">
      <w:pPr>
        <w:pStyle w:val="ListParagraph"/>
        <w:numPr>
          <w:ilvl w:val="0"/>
          <w:numId w:val="3"/>
        </w:numPr>
        <w:jc w:val="both"/>
        <w:rPr>
          <w:rFonts w:asciiTheme="minorHAnsi" w:hAnsiTheme="minorHAnsi"/>
          <w:sz w:val="22"/>
          <w:szCs w:val="22"/>
        </w:rPr>
      </w:pPr>
      <w:proofErr w:type="gramStart"/>
      <w:r w:rsidRPr="00F70BF8">
        <w:rPr>
          <w:rFonts w:asciiTheme="minorHAnsi" w:hAnsiTheme="minorHAnsi"/>
          <w:sz w:val="22"/>
          <w:szCs w:val="22"/>
        </w:rPr>
        <w:t>monitoring</w:t>
      </w:r>
      <w:proofErr w:type="gramEnd"/>
      <w:r w:rsidRPr="00F70BF8">
        <w:rPr>
          <w:rFonts w:asciiTheme="minorHAnsi" w:hAnsiTheme="minorHAnsi"/>
          <w:sz w:val="22"/>
          <w:szCs w:val="22"/>
        </w:rPr>
        <w:t xml:space="preserve"> and evaluating the performance and delivery of results from funding recipients against the outcomes of the Taskforce for Whānau-Centred Initiatives.</w:t>
      </w:r>
    </w:p>
    <w:p w:rsidR="00311298" w:rsidRPr="00F70BF8" w:rsidRDefault="00311298" w:rsidP="00F70BF8">
      <w:pPr>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Following selection, the commissioning agencies will prepare a detailed establishment plan that will allow for the earliest possible commencement of commissioning activity.</w:t>
      </w:r>
    </w:p>
    <w:p w:rsidR="00311298" w:rsidRPr="00F70BF8" w:rsidRDefault="00311298" w:rsidP="00F70BF8">
      <w:pPr>
        <w:pStyle w:val="ListParagraph"/>
        <w:ind w:left="360"/>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 xml:space="preserve">To support the preparation and execution of the establishment plan, a transition team will be formed with membership from the NGOs, Te Puni Kōkiri and relevant stakeholders including the Ministry of Pacific Island Affairs. </w:t>
      </w:r>
    </w:p>
    <w:p w:rsidR="00311298" w:rsidRPr="00F70BF8" w:rsidRDefault="00311298" w:rsidP="00F70BF8">
      <w:pPr>
        <w:pStyle w:val="ListParagraph"/>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sz w:val="22"/>
          <w:szCs w:val="22"/>
        </w:rPr>
        <w:t>The transition team will oversee the necessary steps for the commissioning model to operate, development of the funding and contract management platform and enhanced reporting and monitoring capability.</w:t>
      </w:r>
    </w:p>
    <w:p w:rsidR="00311298" w:rsidRPr="00F70BF8" w:rsidRDefault="00311298" w:rsidP="00F70BF8">
      <w:pPr>
        <w:pStyle w:val="ListParagraph"/>
        <w:jc w:val="both"/>
        <w:rPr>
          <w:rFonts w:asciiTheme="minorHAnsi" w:hAnsiTheme="minorHAnsi"/>
          <w:sz w:val="22"/>
          <w:szCs w:val="22"/>
        </w:rPr>
      </w:pPr>
    </w:p>
    <w:p w:rsidR="00311298" w:rsidRPr="00F70BF8" w:rsidRDefault="00311298" w:rsidP="00F70BF8">
      <w:pPr>
        <w:pStyle w:val="ListParagraph"/>
        <w:numPr>
          <w:ilvl w:val="0"/>
          <w:numId w:val="1"/>
        </w:numPr>
        <w:jc w:val="both"/>
        <w:rPr>
          <w:rFonts w:asciiTheme="minorHAnsi" w:hAnsiTheme="minorHAnsi"/>
          <w:sz w:val="22"/>
          <w:szCs w:val="22"/>
        </w:rPr>
      </w:pPr>
      <w:r w:rsidRPr="00F70BF8">
        <w:rPr>
          <w:rFonts w:asciiTheme="minorHAnsi" w:hAnsiTheme="minorHAnsi"/>
          <w:b/>
          <w:sz w:val="22"/>
          <w:szCs w:val="22"/>
        </w:rPr>
        <w:t>FIGURE 1: Changes from Current to Future Focus of Whānau Ora</w:t>
      </w:r>
      <w:r w:rsidR="00C43856" w:rsidRPr="00F70BF8">
        <w:rPr>
          <w:rFonts w:asciiTheme="minorHAnsi" w:hAnsiTheme="minorHAnsi"/>
          <w:sz w:val="22"/>
          <w:szCs w:val="22"/>
        </w:rPr>
        <w:t xml:space="preserve"> </w:t>
      </w:r>
      <w:r w:rsidRPr="00F70BF8">
        <w:rPr>
          <w:rFonts w:asciiTheme="minorHAnsi" w:hAnsiTheme="minorHAnsi"/>
          <w:sz w:val="22"/>
          <w:szCs w:val="22"/>
        </w:rPr>
        <w:t xml:space="preserve">provides an overview of the changes from the current to the future focus of Whānau Ora. </w:t>
      </w:r>
    </w:p>
    <w:p w:rsidR="00311298" w:rsidRDefault="00311298" w:rsidP="00311298">
      <w:pPr>
        <w:rPr>
          <w:rFonts w:ascii="Calibri" w:hAnsi="Calibri"/>
          <w:b/>
          <w:sz w:val="28"/>
          <w:szCs w:val="28"/>
        </w:rPr>
      </w:pPr>
      <w:r w:rsidRPr="002115CE">
        <w:rPr>
          <w:rFonts w:ascii="Calibri" w:hAnsi="Calibri"/>
          <w:b/>
          <w:sz w:val="28"/>
          <w:szCs w:val="28"/>
        </w:rPr>
        <w:lastRenderedPageBreak/>
        <w:t>FIGURE 1: Changes from Current to Future Focus of Whānau Ora</w:t>
      </w:r>
      <w:r w:rsidRPr="00E57342">
        <w:t xml:space="preserve"> </w:t>
      </w:r>
    </w:p>
    <w:p w:rsidR="00311298" w:rsidRDefault="00311298" w:rsidP="00311298">
      <w:pPr>
        <w:rPr>
          <w:rFonts w:ascii="Calibri" w:hAnsi="Calibri"/>
          <w:b/>
          <w:sz w:val="28"/>
          <w:szCs w:val="28"/>
        </w:rPr>
      </w:pPr>
    </w:p>
    <w:p w:rsidR="00311298" w:rsidRPr="00033283" w:rsidRDefault="00311298" w:rsidP="00311298">
      <w:pPr>
        <w:jc w:val="center"/>
        <w:rPr>
          <w:rFonts w:ascii="Calibri" w:hAnsi="Calibri"/>
          <w:b/>
          <w:sz w:val="16"/>
          <w:szCs w:val="16"/>
        </w:rPr>
      </w:pPr>
      <w:r w:rsidRPr="00033283">
        <w:rPr>
          <w:rFonts w:ascii="Calibri" w:hAnsi="Calibri"/>
          <w:b/>
          <w:noProof/>
          <w:sz w:val="16"/>
          <w:szCs w:val="16"/>
          <w:lang w:eastAsia="en-NZ"/>
        </w:rPr>
        <w:drawing>
          <wp:inline distT="0" distB="0" distL="0" distR="0">
            <wp:extent cx="6353503" cy="3909849"/>
            <wp:effectExtent l="0" t="0" r="0" b="0"/>
            <wp:docPr id="9" name="Picture 3"/>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9" cstate="print"/>
                    <a:srcRect/>
                    <a:stretch>
                      <a:fillRect/>
                    </a:stretch>
                  </pic:blipFill>
                  <pic:spPr bwMode="auto">
                    <a:xfrm>
                      <a:off x="0" y="0"/>
                      <a:ext cx="6352563" cy="3909271"/>
                    </a:xfrm>
                    <a:prstGeom prst="rect">
                      <a:avLst/>
                    </a:prstGeom>
                    <a:noFill/>
                    <a:ln w="9525">
                      <a:noFill/>
                      <a:miter lim="800000"/>
                      <a:headEnd/>
                      <a:tailEnd/>
                    </a:ln>
                  </pic:spPr>
                </pic:pic>
              </a:graphicData>
            </a:graphic>
          </wp:inline>
        </w:drawing>
      </w:r>
    </w:p>
    <w:p w:rsidR="00311298" w:rsidRDefault="00311298" w:rsidP="00F70BF8">
      <w:pPr>
        <w:jc w:val="both"/>
        <w:rPr>
          <w:rFonts w:ascii="Calibri" w:hAnsi="Calibri"/>
          <w:sz w:val="16"/>
          <w:szCs w:val="16"/>
        </w:rPr>
      </w:pPr>
    </w:p>
    <w:p w:rsidR="00311298" w:rsidRPr="00DD5548" w:rsidRDefault="00311298" w:rsidP="00F70BF8">
      <w:pPr>
        <w:jc w:val="both"/>
        <w:rPr>
          <w:rFonts w:ascii="Calibri" w:hAnsi="Calibri"/>
          <w:b/>
          <w:sz w:val="28"/>
          <w:szCs w:val="28"/>
        </w:rPr>
      </w:pPr>
      <w:r w:rsidRPr="00DD5548">
        <w:rPr>
          <w:rFonts w:ascii="Calibri" w:hAnsi="Calibri"/>
          <w:b/>
          <w:sz w:val="28"/>
          <w:szCs w:val="28"/>
        </w:rPr>
        <w:t xml:space="preserve">Roles and Responsibilities </w:t>
      </w:r>
    </w:p>
    <w:p w:rsidR="00311298" w:rsidRPr="002A7E80" w:rsidRDefault="00F82028" w:rsidP="00F70BF8">
      <w:pPr>
        <w:jc w:val="both"/>
        <w:rPr>
          <w:rFonts w:ascii="Calibri" w:hAnsi="Calibri"/>
          <w:b/>
          <w:sz w:val="16"/>
          <w:szCs w:val="16"/>
        </w:rPr>
      </w:pPr>
      <w:r>
        <w:rPr>
          <w:rFonts w:ascii="Calibri" w:hAnsi="Calibri"/>
          <w:sz w:val="22"/>
          <w:szCs w:val="22"/>
        </w:rPr>
        <w:pict>
          <v:rect id="_x0000_i1034" style="width:415.65pt;height:1.5pt" o:hralign="center" o:hrstd="t" o:hr="t" fillcolor="#aca899" stroked="f"/>
        </w:pict>
      </w:r>
    </w:p>
    <w:p w:rsidR="00311298" w:rsidRPr="00684764" w:rsidRDefault="00311298" w:rsidP="00F70BF8">
      <w:pPr>
        <w:pStyle w:val="ListParagraph"/>
        <w:ind w:left="360"/>
        <w:jc w:val="both"/>
        <w:rPr>
          <w:rFonts w:ascii="Calibri" w:hAnsi="Calibri"/>
          <w:sz w:val="16"/>
          <w:szCs w:val="16"/>
        </w:rPr>
      </w:pPr>
    </w:p>
    <w:p w:rsidR="00311298" w:rsidRDefault="00311298" w:rsidP="00F70BF8">
      <w:pPr>
        <w:pStyle w:val="ListParagraph"/>
        <w:numPr>
          <w:ilvl w:val="0"/>
          <w:numId w:val="1"/>
        </w:numPr>
        <w:jc w:val="both"/>
        <w:rPr>
          <w:rFonts w:ascii="Calibri" w:hAnsi="Calibri"/>
          <w:sz w:val="22"/>
          <w:szCs w:val="22"/>
        </w:rPr>
      </w:pPr>
      <w:r w:rsidRPr="001D16F5">
        <w:rPr>
          <w:rFonts w:ascii="Calibri" w:hAnsi="Calibri"/>
          <w:sz w:val="22"/>
          <w:szCs w:val="22"/>
        </w:rPr>
        <w:t xml:space="preserve">To support the NGO commissioning model, new accountability and advisory structures </w:t>
      </w:r>
      <w:r>
        <w:rPr>
          <w:rFonts w:ascii="Calibri" w:hAnsi="Calibri"/>
          <w:sz w:val="22"/>
          <w:szCs w:val="22"/>
        </w:rPr>
        <w:t>will be implemented as part of the institutional arrangements for Whānau Ora.</w:t>
      </w:r>
    </w:p>
    <w:p w:rsidR="00311298" w:rsidRDefault="00311298" w:rsidP="00F70BF8">
      <w:pPr>
        <w:pStyle w:val="ListParagraph"/>
        <w:ind w:left="360"/>
        <w:jc w:val="both"/>
        <w:rPr>
          <w:rFonts w:ascii="Calibri" w:hAnsi="Calibri"/>
          <w:sz w:val="22"/>
          <w:szCs w:val="22"/>
        </w:rPr>
      </w:pPr>
    </w:p>
    <w:p w:rsidR="00311298" w:rsidRDefault="00311298" w:rsidP="00F70BF8">
      <w:pPr>
        <w:pStyle w:val="ListParagraph"/>
        <w:numPr>
          <w:ilvl w:val="0"/>
          <w:numId w:val="1"/>
        </w:numPr>
        <w:jc w:val="both"/>
        <w:rPr>
          <w:rFonts w:ascii="Calibri" w:hAnsi="Calibri"/>
          <w:sz w:val="22"/>
          <w:szCs w:val="22"/>
        </w:rPr>
      </w:pPr>
      <w:r>
        <w:rPr>
          <w:rFonts w:ascii="Calibri" w:hAnsi="Calibri"/>
          <w:sz w:val="22"/>
          <w:szCs w:val="22"/>
        </w:rPr>
        <w:t xml:space="preserve">A Whānau Ora </w:t>
      </w:r>
      <w:r w:rsidRPr="00733484">
        <w:rPr>
          <w:rFonts w:ascii="Calibri" w:hAnsi="Calibri"/>
          <w:sz w:val="22"/>
          <w:szCs w:val="22"/>
        </w:rPr>
        <w:t xml:space="preserve">Partnership Group comprising </w:t>
      </w:r>
      <w:r>
        <w:rPr>
          <w:rFonts w:ascii="Calibri" w:hAnsi="Calibri"/>
          <w:sz w:val="22"/>
          <w:szCs w:val="22"/>
        </w:rPr>
        <w:t>stakeholder ministers, iwi leaders and expert advisors on whānau-centred initiatives will be established.</w:t>
      </w:r>
    </w:p>
    <w:p w:rsidR="00311298" w:rsidRPr="00132CB5" w:rsidRDefault="00311298" w:rsidP="00F70BF8">
      <w:pPr>
        <w:pStyle w:val="ListParagraph"/>
        <w:jc w:val="both"/>
        <w:rPr>
          <w:rFonts w:ascii="Calibri" w:hAnsi="Calibri"/>
          <w:sz w:val="22"/>
          <w:szCs w:val="22"/>
        </w:rPr>
      </w:pPr>
    </w:p>
    <w:p w:rsidR="00311298" w:rsidRDefault="00311298" w:rsidP="00F70BF8">
      <w:pPr>
        <w:pStyle w:val="ListParagraph"/>
        <w:numPr>
          <w:ilvl w:val="0"/>
          <w:numId w:val="1"/>
        </w:numPr>
        <w:jc w:val="both"/>
        <w:rPr>
          <w:rFonts w:ascii="Calibri" w:hAnsi="Calibri"/>
          <w:sz w:val="22"/>
          <w:szCs w:val="22"/>
        </w:rPr>
      </w:pPr>
      <w:r>
        <w:rPr>
          <w:rFonts w:ascii="Calibri" w:hAnsi="Calibri"/>
          <w:sz w:val="22"/>
          <w:szCs w:val="22"/>
        </w:rPr>
        <w:t>The P</w:t>
      </w:r>
      <w:r w:rsidRPr="00733484">
        <w:rPr>
          <w:rFonts w:ascii="Calibri" w:hAnsi="Calibri"/>
          <w:sz w:val="22"/>
          <w:szCs w:val="22"/>
        </w:rPr>
        <w:t>artnership Group</w:t>
      </w:r>
      <w:r>
        <w:rPr>
          <w:rFonts w:ascii="Calibri" w:hAnsi="Calibri"/>
          <w:sz w:val="22"/>
          <w:szCs w:val="22"/>
        </w:rPr>
        <w:t xml:space="preserve"> will act as a high-</w:t>
      </w:r>
      <w:r w:rsidRPr="002271A6">
        <w:rPr>
          <w:rFonts w:ascii="Calibri" w:hAnsi="Calibri"/>
          <w:sz w:val="22"/>
          <w:szCs w:val="22"/>
        </w:rPr>
        <w:t>level forum to inform complementary effor</w:t>
      </w:r>
      <w:r>
        <w:rPr>
          <w:rFonts w:ascii="Calibri" w:hAnsi="Calibri"/>
          <w:sz w:val="22"/>
          <w:szCs w:val="22"/>
        </w:rPr>
        <w:t>t across ministerial portfolios</w:t>
      </w:r>
      <w:r w:rsidRPr="002271A6">
        <w:rPr>
          <w:rFonts w:ascii="Calibri" w:hAnsi="Calibri"/>
          <w:sz w:val="22"/>
          <w:szCs w:val="22"/>
        </w:rPr>
        <w:t xml:space="preserve"> and </w:t>
      </w:r>
      <w:r>
        <w:rPr>
          <w:rFonts w:ascii="Calibri" w:hAnsi="Calibri"/>
          <w:sz w:val="22"/>
          <w:szCs w:val="22"/>
        </w:rPr>
        <w:t xml:space="preserve">to </w:t>
      </w:r>
      <w:r w:rsidRPr="002271A6">
        <w:rPr>
          <w:rFonts w:ascii="Calibri" w:hAnsi="Calibri"/>
          <w:sz w:val="22"/>
          <w:szCs w:val="22"/>
        </w:rPr>
        <w:t>identify opportunities between the Crown and iwi to support the shared development</w:t>
      </w:r>
      <w:r>
        <w:rPr>
          <w:rFonts w:ascii="Calibri" w:hAnsi="Calibri"/>
          <w:sz w:val="22"/>
          <w:szCs w:val="22"/>
        </w:rPr>
        <w:t xml:space="preserve"> aims and aspirations of iwi as well as</w:t>
      </w:r>
      <w:r w:rsidRPr="002271A6">
        <w:rPr>
          <w:rFonts w:ascii="Calibri" w:hAnsi="Calibri"/>
          <w:sz w:val="22"/>
          <w:szCs w:val="22"/>
        </w:rPr>
        <w:t xml:space="preserve"> their wh</w:t>
      </w:r>
      <w:r>
        <w:rPr>
          <w:rFonts w:ascii="Calibri" w:hAnsi="Calibri"/>
          <w:sz w:val="22"/>
          <w:szCs w:val="22"/>
        </w:rPr>
        <w:t>ā</w:t>
      </w:r>
      <w:r w:rsidRPr="002271A6">
        <w:rPr>
          <w:rFonts w:ascii="Calibri" w:hAnsi="Calibri"/>
          <w:sz w:val="22"/>
          <w:szCs w:val="22"/>
        </w:rPr>
        <w:t>nau and hap</w:t>
      </w:r>
      <w:r>
        <w:rPr>
          <w:rFonts w:ascii="Calibri" w:hAnsi="Calibri"/>
          <w:sz w:val="22"/>
          <w:szCs w:val="22"/>
        </w:rPr>
        <w:t>ū</w:t>
      </w:r>
      <w:r w:rsidRPr="002271A6">
        <w:rPr>
          <w:rFonts w:ascii="Calibri" w:hAnsi="Calibri"/>
          <w:sz w:val="22"/>
          <w:szCs w:val="22"/>
        </w:rPr>
        <w:t xml:space="preserve"> membership.</w:t>
      </w:r>
    </w:p>
    <w:p w:rsidR="00311298" w:rsidRPr="00E34AE1" w:rsidRDefault="00311298" w:rsidP="00F70BF8">
      <w:pPr>
        <w:pStyle w:val="ListParagraph"/>
        <w:jc w:val="both"/>
        <w:rPr>
          <w:rFonts w:ascii="Calibri" w:hAnsi="Calibri"/>
          <w:sz w:val="22"/>
          <w:szCs w:val="22"/>
        </w:rPr>
      </w:pPr>
    </w:p>
    <w:p w:rsidR="00311298" w:rsidRDefault="00311298" w:rsidP="00F70BF8">
      <w:pPr>
        <w:pStyle w:val="ListParagraph"/>
        <w:numPr>
          <w:ilvl w:val="0"/>
          <w:numId w:val="1"/>
        </w:numPr>
        <w:jc w:val="both"/>
        <w:rPr>
          <w:rFonts w:ascii="Calibri" w:hAnsi="Calibri"/>
          <w:sz w:val="22"/>
          <w:szCs w:val="22"/>
        </w:rPr>
      </w:pPr>
      <w:r w:rsidRPr="002115CE">
        <w:rPr>
          <w:rFonts w:ascii="Calibri" w:hAnsi="Calibri"/>
          <w:sz w:val="22"/>
          <w:szCs w:val="22"/>
        </w:rPr>
        <w:t xml:space="preserve">To maintain momentum and continuity, the Whānau Ora Governance and Regional Leadership Groups as well as </w:t>
      </w:r>
      <w:r>
        <w:rPr>
          <w:rFonts w:ascii="Calibri" w:hAnsi="Calibri"/>
          <w:sz w:val="22"/>
          <w:szCs w:val="22"/>
        </w:rPr>
        <w:t xml:space="preserve">the </w:t>
      </w:r>
      <w:r w:rsidRPr="002115CE">
        <w:rPr>
          <w:rFonts w:ascii="Calibri" w:hAnsi="Calibri"/>
          <w:sz w:val="22"/>
          <w:szCs w:val="22"/>
        </w:rPr>
        <w:t>Whānau Champions have had their terms of appointment extended fr</w:t>
      </w:r>
      <w:r>
        <w:rPr>
          <w:rFonts w:ascii="Calibri" w:hAnsi="Calibri"/>
          <w:sz w:val="22"/>
          <w:szCs w:val="22"/>
        </w:rPr>
        <w:t xml:space="preserve">om 30 June to 31 December 2013. </w:t>
      </w:r>
    </w:p>
    <w:p w:rsidR="00311298" w:rsidRPr="00FA321F" w:rsidRDefault="00311298" w:rsidP="00F70BF8">
      <w:pPr>
        <w:pStyle w:val="ListParagraph"/>
        <w:jc w:val="both"/>
        <w:rPr>
          <w:rFonts w:ascii="Calibri" w:hAnsi="Calibri"/>
          <w:sz w:val="22"/>
          <w:szCs w:val="22"/>
        </w:rPr>
      </w:pPr>
    </w:p>
    <w:p w:rsidR="00311298" w:rsidRPr="002115CE" w:rsidRDefault="00311298" w:rsidP="00F70BF8">
      <w:pPr>
        <w:pStyle w:val="ListParagraph"/>
        <w:numPr>
          <w:ilvl w:val="0"/>
          <w:numId w:val="1"/>
        </w:numPr>
        <w:jc w:val="both"/>
        <w:rPr>
          <w:rFonts w:ascii="Calibri" w:hAnsi="Calibri"/>
          <w:sz w:val="22"/>
          <w:szCs w:val="22"/>
        </w:rPr>
      </w:pPr>
      <w:r w:rsidRPr="002115CE">
        <w:rPr>
          <w:rFonts w:ascii="Calibri" w:hAnsi="Calibri"/>
          <w:sz w:val="22"/>
          <w:szCs w:val="22"/>
        </w:rPr>
        <w:t>The Whānau Ora Governance Group will support and advise on the procurement process which is expected to take six months to complete.</w:t>
      </w:r>
    </w:p>
    <w:p w:rsidR="00311298" w:rsidRPr="000B0478" w:rsidRDefault="00311298" w:rsidP="00F70BF8">
      <w:pPr>
        <w:pStyle w:val="ListParagraph"/>
        <w:jc w:val="both"/>
        <w:rPr>
          <w:rFonts w:ascii="Calibri" w:hAnsi="Calibri"/>
          <w:sz w:val="22"/>
          <w:szCs w:val="22"/>
        </w:rPr>
      </w:pPr>
    </w:p>
    <w:p w:rsidR="00311298" w:rsidRPr="006D6DB4" w:rsidRDefault="00311298" w:rsidP="00F70BF8">
      <w:pPr>
        <w:pStyle w:val="ListParagraph"/>
        <w:numPr>
          <w:ilvl w:val="0"/>
          <w:numId w:val="1"/>
        </w:numPr>
        <w:jc w:val="both"/>
        <w:rPr>
          <w:rFonts w:ascii="Calibri" w:hAnsi="Calibri"/>
          <w:sz w:val="22"/>
          <w:szCs w:val="22"/>
        </w:rPr>
      </w:pPr>
      <w:r>
        <w:rPr>
          <w:rFonts w:ascii="Calibri" w:hAnsi="Calibri"/>
          <w:sz w:val="22"/>
          <w:szCs w:val="22"/>
        </w:rPr>
        <w:t xml:space="preserve">As the administering department, </w:t>
      </w:r>
      <w:r w:rsidRPr="00F11689">
        <w:rPr>
          <w:rFonts w:ascii="Calibri" w:hAnsi="Calibri" w:cs="Arial"/>
          <w:sz w:val="22"/>
          <w:szCs w:val="22"/>
        </w:rPr>
        <w:t>Te Puni Kōkiri</w:t>
      </w:r>
      <w:r>
        <w:rPr>
          <w:rFonts w:ascii="Calibri" w:hAnsi="Calibri" w:cs="Arial"/>
          <w:sz w:val="22"/>
          <w:szCs w:val="22"/>
        </w:rPr>
        <w:t xml:space="preserve"> will be responsible for managing the contract between the Crown and NGOs as well as Wh</w:t>
      </w:r>
      <w:r>
        <w:rPr>
          <w:rFonts w:ascii="Calibri" w:hAnsi="Calibri"/>
          <w:sz w:val="22"/>
          <w:szCs w:val="22"/>
        </w:rPr>
        <w:t>ā</w:t>
      </w:r>
      <w:r>
        <w:rPr>
          <w:rFonts w:ascii="Calibri" w:hAnsi="Calibri" w:cs="Arial"/>
          <w:sz w:val="22"/>
          <w:szCs w:val="22"/>
        </w:rPr>
        <w:t>nau Ora policy development, monitoring, evaluation and reporting.</w:t>
      </w:r>
    </w:p>
    <w:p w:rsidR="00311298" w:rsidRPr="006D6DB4" w:rsidRDefault="00311298" w:rsidP="00F70BF8">
      <w:pPr>
        <w:pStyle w:val="ListParagraph"/>
        <w:jc w:val="both"/>
        <w:rPr>
          <w:rFonts w:ascii="Calibri" w:hAnsi="Calibri"/>
          <w:sz w:val="22"/>
          <w:szCs w:val="22"/>
        </w:rPr>
      </w:pPr>
    </w:p>
    <w:p w:rsidR="00311298" w:rsidRDefault="00311298" w:rsidP="00F70BF8">
      <w:pPr>
        <w:pStyle w:val="ListParagraph"/>
        <w:numPr>
          <w:ilvl w:val="0"/>
          <w:numId w:val="1"/>
        </w:numPr>
        <w:jc w:val="both"/>
        <w:rPr>
          <w:rFonts w:ascii="Calibri" w:hAnsi="Calibri"/>
          <w:sz w:val="22"/>
          <w:szCs w:val="22"/>
        </w:rPr>
      </w:pPr>
      <w:r w:rsidRPr="00C43856">
        <w:rPr>
          <w:rFonts w:ascii="Calibri" w:hAnsi="Calibri"/>
          <w:b/>
          <w:sz w:val="22"/>
          <w:szCs w:val="22"/>
        </w:rPr>
        <w:t>FIGURE 2: Whānau Ora NGO Commissioning Model and Structure</w:t>
      </w:r>
      <w:r w:rsidR="00C43856">
        <w:rPr>
          <w:rFonts w:ascii="Calibri" w:hAnsi="Calibri"/>
          <w:b/>
          <w:sz w:val="22"/>
          <w:szCs w:val="22"/>
        </w:rPr>
        <w:t xml:space="preserve"> </w:t>
      </w:r>
      <w:r>
        <w:rPr>
          <w:rFonts w:ascii="Calibri" w:hAnsi="Calibri"/>
          <w:sz w:val="22"/>
          <w:szCs w:val="22"/>
        </w:rPr>
        <w:t xml:space="preserve">provides an overview of the new institutional arrangements that will support the Whānau Ora commissioning agencies. </w:t>
      </w:r>
    </w:p>
    <w:p w:rsidR="00311298" w:rsidRPr="00E57342" w:rsidRDefault="00311298" w:rsidP="00311298">
      <w:pPr>
        <w:jc w:val="both"/>
        <w:rPr>
          <w:rFonts w:ascii="Calibri" w:hAnsi="Calibri"/>
          <w:sz w:val="22"/>
          <w:szCs w:val="22"/>
        </w:rPr>
      </w:pPr>
      <w:r w:rsidRPr="00E57342">
        <w:rPr>
          <w:rFonts w:ascii="Calibri" w:hAnsi="Calibri"/>
          <w:b/>
          <w:sz w:val="28"/>
          <w:szCs w:val="28"/>
        </w:rPr>
        <w:lastRenderedPageBreak/>
        <w:t>FIGURE 2: Whānau Ora NGO Commissioning Model and Structure</w:t>
      </w:r>
    </w:p>
    <w:p w:rsidR="00311298" w:rsidRDefault="00311298" w:rsidP="00311298">
      <w:pPr>
        <w:rPr>
          <w:rFonts w:ascii="Calibri" w:hAnsi="Calibri"/>
          <w:b/>
          <w:sz w:val="28"/>
          <w:szCs w:val="28"/>
        </w:rPr>
      </w:pPr>
      <w:r>
        <w:rPr>
          <w:rFonts w:ascii="Calibri" w:hAnsi="Calibri"/>
          <w:b/>
          <w:noProof/>
          <w:sz w:val="28"/>
          <w:szCs w:val="28"/>
          <w:lang w:eastAsia="en-NZ"/>
        </w:rPr>
        <w:drawing>
          <wp:inline distT="0" distB="0" distL="0" distR="0">
            <wp:extent cx="6189345" cy="8252460"/>
            <wp:effectExtent l="19050" t="0" r="1905" b="0"/>
            <wp:docPr id="10" name="Picture 6" descr="2013 07 19_WHANAU ORA_Figure 2_NGO Commissioning Model and Stru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 07 19_WHANAU ORA_Figure 2_NGO Commissioning Model and Structure.jpg"/>
                    <pic:cNvPicPr/>
                  </pic:nvPicPr>
                  <pic:blipFill>
                    <a:blip r:embed="rId10" cstate="print"/>
                    <a:stretch>
                      <a:fillRect/>
                    </a:stretch>
                  </pic:blipFill>
                  <pic:spPr>
                    <a:xfrm>
                      <a:off x="0" y="0"/>
                      <a:ext cx="6189345" cy="8252460"/>
                    </a:xfrm>
                    <a:prstGeom prst="rect">
                      <a:avLst/>
                    </a:prstGeom>
                  </pic:spPr>
                </pic:pic>
              </a:graphicData>
            </a:graphic>
          </wp:inline>
        </w:drawing>
      </w:r>
      <w:r>
        <w:rPr>
          <w:rFonts w:ascii="Calibri" w:hAnsi="Calibri"/>
          <w:b/>
          <w:sz w:val="28"/>
          <w:szCs w:val="28"/>
        </w:rPr>
        <w:br w:type="page"/>
      </w:r>
    </w:p>
    <w:p w:rsidR="00311298" w:rsidRPr="00DD5548" w:rsidRDefault="00311298" w:rsidP="00F70BF8">
      <w:pPr>
        <w:jc w:val="both"/>
        <w:rPr>
          <w:rFonts w:ascii="Calibri" w:hAnsi="Calibri"/>
          <w:b/>
          <w:sz w:val="28"/>
          <w:szCs w:val="28"/>
        </w:rPr>
      </w:pPr>
      <w:r w:rsidRPr="00DD5548">
        <w:rPr>
          <w:rFonts w:ascii="Calibri" w:hAnsi="Calibri"/>
          <w:b/>
          <w:sz w:val="28"/>
          <w:szCs w:val="28"/>
        </w:rPr>
        <w:lastRenderedPageBreak/>
        <w:t xml:space="preserve">Te Puni Kōkiri </w:t>
      </w:r>
    </w:p>
    <w:p w:rsidR="00311298" w:rsidRPr="002A7E80" w:rsidRDefault="00F82028" w:rsidP="00F70BF8">
      <w:pPr>
        <w:jc w:val="both"/>
        <w:rPr>
          <w:rFonts w:ascii="Calibri" w:hAnsi="Calibri"/>
          <w:b/>
          <w:sz w:val="16"/>
          <w:szCs w:val="16"/>
        </w:rPr>
      </w:pPr>
      <w:r>
        <w:rPr>
          <w:rFonts w:ascii="Calibri" w:hAnsi="Calibri"/>
          <w:sz w:val="22"/>
          <w:szCs w:val="22"/>
        </w:rPr>
        <w:pict>
          <v:rect id="_x0000_i1035" style="width:415.65pt;height:1.5pt" o:hralign="center" o:hrstd="t" o:hr="t" fillcolor="#aca899" stroked="f"/>
        </w:pict>
      </w:r>
    </w:p>
    <w:p w:rsidR="00311298" w:rsidRPr="00684764" w:rsidRDefault="00311298" w:rsidP="00F70BF8">
      <w:pPr>
        <w:pStyle w:val="ListParagraph"/>
        <w:ind w:left="360"/>
        <w:jc w:val="both"/>
        <w:rPr>
          <w:rFonts w:ascii="Calibri" w:hAnsi="Calibri"/>
          <w:sz w:val="16"/>
          <w:szCs w:val="16"/>
        </w:rPr>
      </w:pPr>
    </w:p>
    <w:p w:rsidR="00311298" w:rsidRPr="00F11689" w:rsidRDefault="00311298" w:rsidP="00F70BF8">
      <w:pPr>
        <w:pStyle w:val="ListParagraph"/>
        <w:numPr>
          <w:ilvl w:val="0"/>
          <w:numId w:val="1"/>
        </w:numPr>
        <w:jc w:val="both"/>
        <w:rPr>
          <w:rFonts w:ascii="Calibri" w:hAnsi="Calibri"/>
          <w:sz w:val="22"/>
          <w:szCs w:val="22"/>
        </w:rPr>
      </w:pPr>
      <w:r w:rsidRPr="00F11689">
        <w:rPr>
          <w:rFonts w:ascii="Calibri" w:hAnsi="Calibri" w:cs="Arial"/>
          <w:sz w:val="22"/>
          <w:szCs w:val="22"/>
        </w:rPr>
        <w:t xml:space="preserve">Te Puni Kōkiri is leading the development of a </w:t>
      </w:r>
      <w:r>
        <w:rPr>
          <w:rFonts w:ascii="Calibri" w:hAnsi="Calibri" w:cs="Arial"/>
          <w:sz w:val="22"/>
          <w:szCs w:val="22"/>
        </w:rPr>
        <w:t>change project plan for the</w:t>
      </w:r>
      <w:r w:rsidRPr="00F11689">
        <w:rPr>
          <w:rFonts w:ascii="Calibri" w:hAnsi="Calibri" w:cs="Arial"/>
          <w:sz w:val="22"/>
          <w:szCs w:val="22"/>
        </w:rPr>
        <w:t xml:space="preserve"> next stage of implementation in consultation with the Ministries of Health, Social Development, Education, Pacific Island Affairs and Business, Innovation and Employment as well as Treasury</w:t>
      </w:r>
      <w:r>
        <w:rPr>
          <w:rFonts w:ascii="Calibri" w:hAnsi="Calibri" w:cs="Arial"/>
          <w:sz w:val="22"/>
          <w:szCs w:val="22"/>
        </w:rPr>
        <w:t>.</w:t>
      </w:r>
    </w:p>
    <w:p w:rsidR="00311298" w:rsidRPr="00262037" w:rsidRDefault="00311298" w:rsidP="00F70BF8">
      <w:pPr>
        <w:pStyle w:val="ListParagraph"/>
        <w:jc w:val="both"/>
        <w:rPr>
          <w:rFonts w:ascii="Calibri" w:hAnsi="Calibri"/>
          <w:sz w:val="22"/>
          <w:szCs w:val="22"/>
        </w:rPr>
      </w:pPr>
    </w:p>
    <w:p w:rsidR="00311298" w:rsidRDefault="00311298" w:rsidP="00F70BF8">
      <w:pPr>
        <w:pStyle w:val="ListParagraph"/>
        <w:numPr>
          <w:ilvl w:val="0"/>
          <w:numId w:val="1"/>
        </w:numPr>
        <w:jc w:val="both"/>
        <w:rPr>
          <w:rFonts w:ascii="Calibri" w:hAnsi="Calibri"/>
          <w:sz w:val="22"/>
          <w:szCs w:val="22"/>
        </w:rPr>
      </w:pPr>
      <w:r w:rsidRPr="00733484">
        <w:rPr>
          <w:rFonts w:ascii="Calibri" w:hAnsi="Calibri"/>
          <w:sz w:val="22"/>
          <w:szCs w:val="22"/>
        </w:rPr>
        <w:t xml:space="preserve">Te Puni </w:t>
      </w:r>
      <w:r>
        <w:rPr>
          <w:rFonts w:ascii="Calibri" w:hAnsi="Calibri"/>
          <w:sz w:val="22"/>
          <w:szCs w:val="22"/>
        </w:rPr>
        <w:t>Kōkiri</w:t>
      </w:r>
      <w:r w:rsidRPr="00733484">
        <w:rPr>
          <w:rFonts w:ascii="Calibri" w:hAnsi="Calibri"/>
          <w:sz w:val="22"/>
          <w:szCs w:val="22"/>
        </w:rPr>
        <w:t xml:space="preserve"> will lead the NGO procurement process </w:t>
      </w:r>
      <w:r>
        <w:rPr>
          <w:rFonts w:ascii="Calibri" w:hAnsi="Calibri"/>
          <w:sz w:val="22"/>
          <w:szCs w:val="22"/>
        </w:rPr>
        <w:t>with support from Treasury and the Ministries</w:t>
      </w:r>
      <w:r w:rsidRPr="00733484">
        <w:rPr>
          <w:rFonts w:ascii="Calibri" w:hAnsi="Calibri"/>
          <w:sz w:val="22"/>
          <w:szCs w:val="22"/>
        </w:rPr>
        <w:t xml:space="preserve"> of Busi</w:t>
      </w:r>
      <w:r>
        <w:rPr>
          <w:rFonts w:ascii="Calibri" w:hAnsi="Calibri"/>
          <w:sz w:val="22"/>
          <w:szCs w:val="22"/>
        </w:rPr>
        <w:t xml:space="preserve">ness Innovation and Employment </w:t>
      </w:r>
      <w:r w:rsidRPr="00733484">
        <w:rPr>
          <w:rFonts w:ascii="Calibri" w:hAnsi="Calibri"/>
          <w:sz w:val="22"/>
          <w:szCs w:val="22"/>
        </w:rPr>
        <w:t xml:space="preserve">and Pacific </w:t>
      </w:r>
      <w:r>
        <w:rPr>
          <w:rFonts w:ascii="Calibri" w:hAnsi="Calibri"/>
          <w:sz w:val="22"/>
          <w:szCs w:val="22"/>
        </w:rPr>
        <w:t>Island Affairs.</w:t>
      </w:r>
    </w:p>
    <w:p w:rsidR="00311298" w:rsidRPr="00AE6B76" w:rsidRDefault="00311298" w:rsidP="00F70BF8">
      <w:pPr>
        <w:pStyle w:val="ListParagraph"/>
        <w:jc w:val="both"/>
        <w:rPr>
          <w:rFonts w:ascii="Calibri" w:hAnsi="Calibri"/>
          <w:sz w:val="22"/>
          <w:szCs w:val="22"/>
        </w:rPr>
      </w:pPr>
    </w:p>
    <w:p w:rsidR="00311298" w:rsidRPr="00AE6B76" w:rsidRDefault="00311298" w:rsidP="00F70BF8">
      <w:pPr>
        <w:pStyle w:val="ListParagraph"/>
        <w:numPr>
          <w:ilvl w:val="0"/>
          <w:numId w:val="1"/>
        </w:numPr>
        <w:jc w:val="both"/>
        <w:rPr>
          <w:rFonts w:ascii="Calibri" w:hAnsi="Calibri"/>
          <w:sz w:val="22"/>
          <w:szCs w:val="22"/>
        </w:rPr>
      </w:pPr>
      <w:r w:rsidRPr="00AE6B76">
        <w:rPr>
          <w:rFonts w:ascii="Calibri" w:hAnsi="Calibri"/>
          <w:sz w:val="22"/>
          <w:szCs w:val="22"/>
        </w:rPr>
        <w:t>Te Puni Kōkiri will refocus its Whānau Ora capacity to align with the commissioning approach. This will include a mix of existing and new functions:</w:t>
      </w:r>
    </w:p>
    <w:p w:rsidR="00311298" w:rsidRPr="005603BF" w:rsidRDefault="00311298" w:rsidP="00F70BF8">
      <w:pPr>
        <w:jc w:val="both"/>
        <w:rPr>
          <w:rFonts w:ascii="Calibri" w:hAnsi="Calibri"/>
          <w:sz w:val="22"/>
          <w:szCs w:val="22"/>
        </w:rPr>
      </w:pPr>
    </w:p>
    <w:p w:rsidR="00311298" w:rsidRDefault="00311298" w:rsidP="00F70BF8">
      <w:pPr>
        <w:pStyle w:val="ListParagraph"/>
        <w:numPr>
          <w:ilvl w:val="0"/>
          <w:numId w:val="2"/>
        </w:numPr>
        <w:ind w:left="720"/>
        <w:jc w:val="both"/>
        <w:rPr>
          <w:rFonts w:ascii="Calibri" w:hAnsi="Calibri"/>
          <w:sz w:val="22"/>
          <w:szCs w:val="22"/>
        </w:rPr>
      </w:pPr>
      <w:r w:rsidRPr="005603BF">
        <w:rPr>
          <w:rFonts w:ascii="Calibri" w:hAnsi="Calibri"/>
          <w:sz w:val="22"/>
          <w:szCs w:val="22"/>
        </w:rPr>
        <w:t>Supporting the Minister for Wh</w:t>
      </w:r>
      <w:r>
        <w:rPr>
          <w:rFonts w:ascii="Calibri" w:hAnsi="Calibri"/>
          <w:sz w:val="22"/>
          <w:szCs w:val="22"/>
        </w:rPr>
        <w:t>ā</w:t>
      </w:r>
      <w:r w:rsidRPr="005603BF">
        <w:rPr>
          <w:rFonts w:ascii="Calibri" w:hAnsi="Calibri"/>
          <w:sz w:val="22"/>
          <w:szCs w:val="22"/>
        </w:rPr>
        <w:t xml:space="preserve">nau Ora through the provision of policy advice and support </w:t>
      </w:r>
      <w:r>
        <w:rPr>
          <w:rFonts w:ascii="Calibri" w:hAnsi="Calibri"/>
          <w:sz w:val="22"/>
          <w:szCs w:val="22"/>
        </w:rPr>
        <w:t>activities</w:t>
      </w:r>
      <w:r w:rsidRPr="005603BF">
        <w:rPr>
          <w:rFonts w:ascii="Calibri" w:hAnsi="Calibri"/>
          <w:sz w:val="22"/>
          <w:szCs w:val="22"/>
        </w:rPr>
        <w:t>.</w:t>
      </w:r>
    </w:p>
    <w:p w:rsidR="00311298" w:rsidRPr="005603BF" w:rsidRDefault="00311298" w:rsidP="00F70BF8">
      <w:pPr>
        <w:pStyle w:val="ListParagraph"/>
        <w:jc w:val="both"/>
        <w:rPr>
          <w:rFonts w:ascii="Calibri" w:hAnsi="Calibri"/>
          <w:sz w:val="22"/>
          <w:szCs w:val="22"/>
        </w:rPr>
      </w:pPr>
    </w:p>
    <w:p w:rsidR="00311298" w:rsidRPr="005603BF" w:rsidRDefault="00311298" w:rsidP="00F70BF8">
      <w:pPr>
        <w:pStyle w:val="ListParagraph"/>
        <w:numPr>
          <w:ilvl w:val="0"/>
          <w:numId w:val="2"/>
        </w:numPr>
        <w:ind w:left="720"/>
        <w:jc w:val="both"/>
        <w:rPr>
          <w:rFonts w:ascii="Calibri" w:hAnsi="Calibri"/>
          <w:sz w:val="22"/>
          <w:szCs w:val="22"/>
        </w:rPr>
      </w:pPr>
      <w:r w:rsidRPr="005603BF">
        <w:rPr>
          <w:rFonts w:ascii="Calibri" w:hAnsi="Calibri"/>
          <w:sz w:val="22"/>
          <w:szCs w:val="22"/>
        </w:rPr>
        <w:t>Contracting and monitor</w:t>
      </w:r>
      <w:r>
        <w:rPr>
          <w:rFonts w:ascii="Calibri" w:hAnsi="Calibri"/>
          <w:sz w:val="22"/>
          <w:szCs w:val="22"/>
        </w:rPr>
        <w:t xml:space="preserve">ing of the performance of the </w:t>
      </w:r>
      <w:r w:rsidRPr="005603BF">
        <w:rPr>
          <w:rFonts w:ascii="Calibri" w:hAnsi="Calibri"/>
          <w:sz w:val="22"/>
          <w:szCs w:val="22"/>
        </w:rPr>
        <w:t>commissioning agencies.</w:t>
      </w:r>
    </w:p>
    <w:p w:rsidR="00311298" w:rsidRDefault="00311298" w:rsidP="00F70BF8">
      <w:pPr>
        <w:pStyle w:val="ListParagraph"/>
        <w:jc w:val="both"/>
        <w:rPr>
          <w:rFonts w:ascii="Calibri" w:hAnsi="Calibri"/>
          <w:sz w:val="22"/>
          <w:szCs w:val="22"/>
        </w:rPr>
      </w:pPr>
    </w:p>
    <w:p w:rsidR="00311298" w:rsidRPr="005603BF" w:rsidRDefault="00311298" w:rsidP="00F70BF8">
      <w:pPr>
        <w:pStyle w:val="ListParagraph"/>
        <w:numPr>
          <w:ilvl w:val="0"/>
          <w:numId w:val="2"/>
        </w:numPr>
        <w:ind w:left="720"/>
        <w:jc w:val="both"/>
        <w:rPr>
          <w:rFonts w:ascii="Calibri" w:hAnsi="Calibri"/>
          <w:sz w:val="22"/>
          <w:szCs w:val="22"/>
        </w:rPr>
      </w:pPr>
      <w:r w:rsidRPr="005603BF">
        <w:rPr>
          <w:rFonts w:ascii="Calibri" w:hAnsi="Calibri"/>
          <w:sz w:val="22"/>
          <w:szCs w:val="22"/>
        </w:rPr>
        <w:t>Secretariat support to the Wh</w:t>
      </w:r>
      <w:r>
        <w:rPr>
          <w:rFonts w:ascii="Calibri" w:hAnsi="Calibri"/>
          <w:sz w:val="22"/>
          <w:szCs w:val="22"/>
        </w:rPr>
        <w:t>ā</w:t>
      </w:r>
      <w:r w:rsidRPr="005603BF">
        <w:rPr>
          <w:rFonts w:ascii="Calibri" w:hAnsi="Calibri"/>
          <w:sz w:val="22"/>
          <w:szCs w:val="22"/>
        </w:rPr>
        <w:t>nau Ora Partnership Group.</w:t>
      </w:r>
    </w:p>
    <w:p w:rsidR="00311298" w:rsidRDefault="00311298" w:rsidP="00F70BF8">
      <w:pPr>
        <w:pStyle w:val="ListParagraph"/>
        <w:jc w:val="both"/>
        <w:rPr>
          <w:rFonts w:ascii="Calibri" w:hAnsi="Calibri"/>
          <w:sz w:val="22"/>
          <w:szCs w:val="22"/>
        </w:rPr>
      </w:pPr>
    </w:p>
    <w:p w:rsidR="00311298" w:rsidRDefault="00311298" w:rsidP="00F70BF8">
      <w:pPr>
        <w:pStyle w:val="ListParagraph"/>
        <w:numPr>
          <w:ilvl w:val="0"/>
          <w:numId w:val="2"/>
        </w:numPr>
        <w:ind w:left="720"/>
        <w:jc w:val="both"/>
        <w:rPr>
          <w:rFonts w:ascii="Calibri" w:hAnsi="Calibri"/>
          <w:sz w:val="22"/>
          <w:szCs w:val="22"/>
        </w:rPr>
      </w:pPr>
      <w:r w:rsidRPr="005603BF">
        <w:rPr>
          <w:rFonts w:ascii="Calibri" w:hAnsi="Calibri"/>
          <w:sz w:val="22"/>
          <w:szCs w:val="22"/>
        </w:rPr>
        <w:t>Contract management and monitoring for prov</w:t>
      </w:r>
      <w:r>
        <w:rPr>
          <w:rFonts w:ascii="Calibri" w:hAnsi="Calibri"/>
          <w:sz w:val="22"/>
          <w:szCs w:val="22"/>
        </w:rPr>
        <w:t>ider collectives completing already-</w:t>
      </w:r>
      <w:r w:rsidRPr="005603BF">
        <w:rPr>
          <w:rFonts w:ascii="Calibri" w:hAnsi="Calibri"/>
          <w:sz w:val="22"/>
          <w:szCs w:val="22"/>
        </w:rPr>
        <w:t xml:space="preserve">contracted implementation </w:t>
      </w:r>
      <w:r>
        <w:rPr>
          <w:rFonts w:ascii="Calibri" w:hAnsi="Calibri"/>
          <w:sz w:val="22"/>
          <w:szCs w:val="22"/>
        </w:rPr>
        <w:t xml:space="preserve">activities </w:t>
      </w:r>
      <w:r w:rsidRPr="005603BF">
        <w:rPr>
          <w:rFonts w:ascii="Calibri" w:hAnsi="Calibri"/>
          <w:sz w:val="22"/>
          <w:szCs w:val="22"/>
        </w:rPr>
        <w:t>of their Wh</w:t>
      </w:r>
      <w:r>
        <w:rPr>
          <w:rFonts w:ascii="Calibri" w:hAnsi="Calibri"/>
          <w:sz w:val="22"/>
          <w:szCs w:val="22"/>
        </w:rPr>
        <w:t>ā</w:t>
      </w:r>
      <w:r w:rsidRPr="005603BF">
        <w:rPr>
          <w:rFonts w:ascii="Calibri" w:hAnsi="Calibri"/>
          <w:sz w:val="22"/>
          <w:szCs w:val="22"/>
        </w:rPr>
        <w:t>nau Ora approach.</w:t>
      </w:r>
    </w:p>
    <w:p w:rsidR="00311298" w:rsidRPr="008A65FF" w:rsidRDefault="00311298" w:rsidP="00F70BF8">
      <w:pPr>
        <w:pStyle w:val="ListParagraph"/>
        <w:jc w:val="both"/>
        <w:rPr>
          <w:rFonts w:ascii="Calibri" w:hAnsi="Calibri"/>
          <w:sz w:val="22"/>
          <w:szCs w:val="22"/>
        </w:rPr>
      </w:pPr>
    </w:p>
    <w:p w:rsidR="00311298" w:rsidRPr="005603BF" w:rsidRDefault="00311298" w:rsidP="00F70BF8">
      <w:pPr>
        <w:pStyle w:val="ListParagraph"/>
        <w:numPr>
          <w:ilvl w:val="0"/>
          <w:numId w:val="2"/>
        </w:numPr>
        <w:ind w:left="720"/>
        <w:jc w:val="both"/>
        <w:rPr>
          <w:rFonts w:ascii="Calibri" w:hAnsi="Calibri"/>
          <w:sz w:val="22"/>
          <w:szCs w:val="22"/>
        </w:rPr>
      </w:pPr>
      <w:r w:rsidRPr="005603BF">
        <w:rPr>
          <w:rFonts w:ascii="Calibri" w:hAnsi="Calibri"/>
          <w:sz w:val="22"/>
          <w:szCs w:val="22"/>
        </w:rPr>
        <w:t>Contracting and monitor</w:t>
      </w:r>
      <w:r>
        <w:rPr>
          <w:rFonts w:ascii="Calibri" w:hAnsi="Calibri"/>
          <w:sz w:val="22"/>
          <w:szCs w:val="22"/>
        </w:rPr>
        <w:t xml:space="preserve">ing of existing commitments under the </w:t>
      </w:r>
      <w:r w:rsidRPr="00A03AC6">
        <w:rPr>
          <w:rFonts w:ascii="Calibri" w:hAnsi="Calibri"/>
          <w:sz w:val="22"/>
          <w:szCs w:val="22"/>
        </w:rPr>
        <w:t>Whānau Integration, Innovation and Engagement (WIIE) Fund</w:t>
      </w:r>
      <w:r>
        <w:rPr>
          <w:rFonts w:ascii="Calibri" w:hAnsi="Calibri"/>
          <w:sz w:val="22"/>
          <w:szCs w:val="22"/>
        </w:rPr>
        <w:t>.</w:t>
      </w:r>
    </w:p>
    <w:p w:rsidR="00311298" w:rsidRDefault="00311298" w:rsidP="00F70BF8">
      <w:pPr>
        <w:pStyle w:val="ListParagraph"/>
        <w:jc w:val="both"/>
        <w:rPr>
          <w:rFonts w:ascii="Calibri" w:hAnsi="Calibri"/>
          <w:sz w:val="22"/>
          <w:szCs w:val="22"/>
        </w:rPr>
      </w:pPr>
    </w:p>
    <w:p w:rsidR="00311298" w:rsidRDefault="00311298" w:rsidP="00F70BF8">
      <w:pPr>
        <w:pStyle w:val="ListParagraph"/>
        <w:numPr>
          <w:ilvl w:val="0"/>
          <w:numId w:val="2"/>
        </w:numPr>
        <w:ind w:left="720"/>
        <w:jc w:val="both"/>
        <w:rPr>
          <w:rFonts w:ascii="Calibri" w:hAnsi="Calibri"/>
          <w:sz w:val="22"/>
          <w:szCs w:val="22"/>
        </w:rPr>
      </w:pPr>
      <w:r w:rsidRPr="005603BF">
        <w:rPr>
          <w:rFonts w:ascii="Calibri" w:hAnsi="Calibri"/>
          <w:sz w:val="22"/>
          <w:szCs w:val="22"/>
        </w:rPr>
        <w:t>Reporting on system progress against outcomes, and the outcomes of the action research.</w:t>
      </w:r>
    </w:p>
    <w:p w:rsidR="00311298" w:rsidRPr="006D6DB4" w:rsidRDefault="00311298" w:rsidP="00F70BF8">
      <w:pPr>
        <w:pStyle w:val="ListParagraph"/>
        <w:jc w:val="both"/>
        <w:rPr>
          <w:rFonts w:ascii="Calibri" w:hAnsi="Calibri"/>
          <w:sz w:val="22"/>
          <w:szCs w:val="22"/>
        </w:rPr>
      </w:pPr>
    </w:p>
    <w:p w:rsidR="00311298" w:rsidRPr="00CB6179" w:rsidRDefault="00311298" w:rsidP="00F70BF8">
      <w:pPr>
        <w:pStyle w:val="ListParagraph"/>
        <w:numPr>
          <w:ilvl w:val="0"/>
          <w:numId w:val="1"/>
        </w:numPr>
        <w:jc w:val="both"/>
        <w:rPr>
          <w:rFonts w:ascii="Calibri" w:hAnsi="Calibri"/>
          <w:b/>
          <w:sz w:val="22"/>
          <w:szCs w:val="22"/>
        </w:rPr>
      </w:pPr>
      <w:r w:rsidRPr="00C43856">
        <w:rPr>
          <w:rFonts w:ascii="Calibri" w:hAnsi="Calibri"/>
          <w:b/>
          <w:sz w:val="22"/>
          <w:szCs w:val="22"/>
        </w:rPr>
        <w:t>FIGURE 3: Whānau Ora Future Outcomes Framework</w:t>
      </w:r>
      <w:r w:rsidR="00C43856">
        <w:rPr>
          <w:rFonts w:ascii="Calibri" w:hAnsi="Calibri"/>
          <w:sz w:val="22"/>
          <w:szCs w:val="22"/>
        </w:rPr>
        <w:t xml:space="preserve"> </w:t>
      </w:r>
      <w:r w:rsidRPr="00CB6179">
        <w:rPr>
          <w:rFonts w:ascii="Calibri" w:hAnsi="Calibri"/>
          <w:sz w:val="22"/>
          <w:szCs w:val="22"/>
        </w:rPr>
        <w:t>provides an overview of</w:t>
      </w:r>
      <w:r>
        <w:rPr>
          <w:rFonts w:ascii="Calibri" w:hAnsi="Calibri"/>
          <w:sz w:val="22"/>
          <w:szCs w:val="22"/>
        </w:rPr>
        <w:t xml:space="preserve"> how the goals for </w:t>
      </w:r>
      <w:r w:rsidRPr="00CB6179">
        <w:rPr>
          <w:rFonts w:ascii="Calibri" w:hAnsi="Calibri"/>
          <w:sz w:val="22"/>
          <w:szCs w:val="22"/>
        </w:rPr>
        <w:t xml:space="preserve">whānau </w:t>
      </w:r>
      <w:r>
        <w:rPr>
          <w:rFonts w:ascii="Calibri" w:hAnsi="Calibri"/>
          <w:sz w:val="22"/>
          <w:szCs w:val="22"/>
        </w:rPr>
        <w:t xml:space="preserve">and families </w:t>
      </w:r>
      <w:r w:rsidRPr="00CB6179">
        <w:rPr>
          <w:rFonts w:ascii="Calibri" w:hAnsi="Calibri"/>
          <w:sz w:val="22"/>
          <w:szCs w:val="22"/>
        </w:rPr>
        <w:t xml:space="preserve">link to whānau </w:t>
      </w:r>
      <w:r>
        <w:rPr>
          <w:rFonts w:ascii="Calibri" w:hAnsi="Calibri"/>
          <w:sz w:val="22"/>
          <w:szCs w:val="22"/>
        </w:rPr>
        <w:t xml:space="preserve">and family </w:t>
      </w:r>
      <w:r w:rsidRPr="00CB6179">
        <w:rPr>
          <w:rFonts w:ascii="Calibri" w:hAnsi="Calibri"/>
          <w:sz w:val="22"/>
          <w:szCs w:val="22"/>
        </w:rPr>
        <w:t>capabilities. It also provides an indication of the types of outcomes expected of the administering dep</w:t>
      </w:r>
      <w:r>
        <w:rPr>
          <w:rFonts w:ascii="Calibri" w:hAnsi="Calibri"/>
          <w:sz w:val="22"/>
          <w:szCs w:val="22"/>
        </w:rPr>
        <w:t>artment and the new whānau-focu</w:t>
      </w:r>
      <w:r w:rsidRPr="00CB6179">
        <w:rPr>
          <w:rFonts w:ascii="Calibri" w:hAnsi="Calibri"/>
          <w:sz w:val="22"/>
          <w:szCs w:val="22"/>
        </w:rPr>
        <w:t xml:space="preserve">sed commissioning agencies under the commissioning model. </w:t>
      </w:r>
    </w:p>
    <w:p w:rsidR="00311298" w:rsidRPr="004C3179" w:rsidRDefault="00311298" w:rsidP="00F70BF8">
      <w:pPr>
        <w:jc w:val="both"/>
        <w:rPr>
          <w:rFonts w:ascii="Calibri" w:hAnsi="Calibri"/>
          <w:b/>
          <w:sz w:val="22"/>
          <w:szCs w:val="22"/>
        </w:rPr>
      </w:pPr>
    </w:p>
    <w:p w:rsidR="004C3179" w:rsidRPr="00DD5548" w:rsidRDefault="004C3179" w:rsidP="00F70BF8">
      <w:pPr>
        <w:jc w:val="both"/>
        <w:rPr>
          <w:rFonts w:ascii="Calibri" w:hAnsi="Calibri"/>
          <w:b/>
          <w:sz w:val="28"/>
          <w:szCs w:val="28"/>
        </w:rPr>
      </w:pPr>
      <w:r w:rsidRPr="00DD5548">
        <w:rPr>
          <w:rFonts w:ascii="Calibri" w:hAnsi="Calibri"/>
          <w:b/>
          <w:sz w:val="28"/>
          <w:szCs w:val="28"/>
        </w:rPr>
        <w:t>Whānau Integration, Innovation and Engagement (WIIE) Fund</w:t>
      </w:r>
    </w:p>
    <w:p w:rsidR="004C3179" w:rsidRPr="002A7E80" w:rsidRDefault="00F82028" w:rsidP="00F70BF8">
      <w:pPr>
        <w:jc w:val="both"/>
        <w:rPr>
          <w:rFonts w:ascii="Calibri" w:hAnsi="Calibri"/>
          <w:b/>
          <w:sz w:val="16"/>
          <w:szCs w:val="16"/>
        </w:rPr>
      </w:pPr>
      <w:r>
        <w:rPr>
          <w:rFonts w:ascii="Calibri" w:hAnsi="Calibri"/>
          <w:sz w:val="22"/>
          <w:szCs w:val="22"/>
        </w:rPr>
        <w:pict>
          <v:rect id="_x0000_i1036" style="width:415.65pt;height:1.5pt" o:hralign="center" o:hrstd="t" o:hr="t" fillcolor="#aca899" stroked="f"/>
        </w:pict>
      </w:r>
    </w:p>
    <w:p w:rsidR="004C3179" w:rsidRPr="00684764" w:rsidRDefault="004C3179" w:rsidP="00F70BF8">
      <w:pPr>
        <w:pStyle w:val="ListParagraph"/>
        <w:ind w:left="360"/>
        <w:jc w:val="both"/>
        <w:rPr>
          <w:rFonts w:ascii="Calibri" w:hAnsi="Calibri"/>
          <w:sz w:val="16"/>
          <w:szCs w:val="16"/>
        </w:rPr>
      </w:pPr>
    </w:p>
    <w:p w:rsidR="004C3179" w:rsidRDefault="004C3179" w:rsidP="00F70BF8">
      <w:pPr>
        <w:pStyle w:val="ListParagraph"/>
        <w:numPr>
          <w:ilvl w:val="0"/>
          <w:numId w:val="1"/>
        </w:numPr>
        <w:jc w:val="both"/>
        <w:rPr>
          <w:rFonts w:ascii="Calibri" w:hAnsi="Calibri"/>
          <w:sz w:val="22"/>
          <w:szCs w:val="22"/>
        </w:rPr>
      </w:pPr>
      <w:r w:rsidRPr="00183555">
        <w:rPr>
          <w:rFonts w:ascii="Calibri" w:hAnsi="Calibri"/>
          <w:sz w:val="22"/>
          <w:szCs w:val="22"/>
        </w:rPr>
        <w:t>Current WIIE Fund arrangements provide na</w:t>
      </w:r>
      <w:r>
        <w:rPr>
          <w:rFonts w:ascii="Calibri" w:hAnsi="Calibri"/>
          <w:sz w:val="22"/>
          <w:szCs w:val="22"/>
        </w:rPr>
        <w:t>tional coverage and access for whānau and families.</w:t>
      </w:r>
    </w:p>
    <w:p w:rsidR="004C3179" w:rsidRDefault="004C3179" w:rsidP="00F70BF8">
      <w:pPr>
        <w:pStyle w:val="ListParagraph"/>
        <w:ind w:left="360"/>
        <w:jc w:val="both"/>
        <w:rPr>
          <w:rFonts w:ascii="Calibri" w:hAnsi="Calibri"/>
          <w:sz w:val="22"/>
          <w:szCs w:val="22"/>
        </w:rPr>
      </w:pPr>
    </w:p>
    <w:p w:rsidR="004C3179" w:rsidRPr="00183555" w:rsidRDefault="004C3179" w:rsidP="00F70BF8">
      <w:pPr>
        <w:pStyle w:val="ListParagraph"/>
        <w:numPr>
          <w:ilvl w:val="0"/>
          <w:numId w:val="1"/>
        </w:numPr>
        <w:jc w:val="both"/>
        <w:rPr>
          <w:rFonts w:ascii="Calibri" w:hAnsi="Calibri"/>
          <w:sz w:val="22"/>
          <w:szCs w:val="22"/>
        </w:rPr>
      </w:pPr>
      <w:r>
        <w:rPr>
          <w:rFonts w:ascii="Calibri" w:hAnsi="Calibri"/>
          <w:sz w:val="22"/>
          <w:szCs w:val="22"/>
        </w:rPr>
        <w:t>C</w:t>
      </w:r>
      <w:r w:rsidRPr="00183555">
        <w:rPr>
          <w:rFonts w:ascii="Calibri" w:hAnsi="Calibri"/>
          <w:sz w:val="22"/>
          <w:szCs w:val="22"/>
        </w:rPr>
        <w:t xml:space="preserve">onsideration will be given to the availability of the WIIE Fund to </w:t>
      </w:r>
      <w:r>
        <w:rPr>
          <w:rFonts w:ascii="Calibri" w:hAnsi="Calibri"/>
          <w:sz w:val="22"/>
          <w:szCs w:val="22"/>
        </w:rPr>
        <w:t>whānau and families</w:t>
      </w:r>
      <w:r w:rsidRPr="00183555">
        <w:rPr>
          <w:rFonts w:ascii="Calibri" w:hAnsi="Calibri"/>
          <w:sz w:val="22"/>
          <w:szCs w:val="22"/>
        </w:rPr>
        <w:t xml:space="preserve"> to support transition of the investment to the commissioning NGOs.</w:t>
      </w:r>
    </w:p>
    <w:p w:rsidR="004C3179" w:rsidRPr="00F67588" w:rsidRDefault="004C3179" w:rsidP="00F70BF8">
      <w:pPr>
        <w:pStyle w:val="ListParagraph"/>
        <w:jc w:val="both"/>
        <w:rPr>
          <w:rFonts w:ascii="Calibri" w:hAnsi="Calibri"/>
          <w:sz w:val="22"/>
          <w:szCs w:val="22"/>
        </w:rPr>
      </w:pPr>
    </w:p>
    <w:p w:rsidR="004C3179" w:rsidRPr="007E59C0" w:rsidRDefault="004C3179" w:rsidP="00F70BF8">
      <w:pPr>
        <w:pStyle w:val="ListParagraph"/>
        <w:numPr>
          <w:ilvl w:val="0"/>
          <w:numId w:val="1"/>
        </w:numPr>
        <w:jc w:val="both"/>
        <w:rPr>
          <w:rFonts w:ascii="Calibri" w:hAnsi="Calibri"/>
          <w:sz w:val="22"/>
          <w:szCs w:val="22"/>
        </w:rPr>
      </w:pPr>
      <w:r>
        <w:rPr>
          <w:rFonts w:ascii="Calibri" w:hAnsi="Calibri"/>
          <w:sz w:val="22"/>
          <w:szCs w:val="22"/>
        </w:rPr>
        <w:t xml:space="preserve">In order to achieve a similar </w:t>
      </w:r>
      <w:r w:rsidRPr="007E59C0">
        <w:rPr>
          <w:rFonts w:ascii="Calibri" w:hAnsi="Calibri"/>
          <w:sz w:val="22"/>
          <w:szCs w:val="22"/>
        </w:rPr>
        <w:t>level of cover</w:t>
      </w:r>
      <w:r>
        <w:rPr>
          <w:rFonts w:ascii="Calibri" w:hAnsi="Calibri"/>
          <w:sz w:val="22"/>
          <w:szCs w:val="22"/>
        </w:rPr>
        <w:t>age and access, t</w:t>
      </w:r>
      <w:r w:rsidRPr="007E59C0">
        <w:rPr>
          <w:rFonts w:ascii="Calibri" w:hAnsi="Calibri"/>
          <w:sz w:val="22"/>
          <w:szCs w:val="22"/>
        </w:rPr>
        <w:t>he commission</w:t>
      </w:r>
      <w:r>
        <w:rPr>
          <w:rFonts w:ascii="Calibri" w:hAnsi="Calibri"/>
          <w:sz w:val="22"/>
          <w:szCs w:val="22"/>
        </w:rPr>
        <w:t xml:space="preserve">ing agencies will explore </w:t>
      </w:r>
      <w:r w:rsidRPr="007E59C0">
        <w:rPr>
          <w:rFonts w:ascii="Calibri" w:hAnsi="Calibri"/>
          <w:sz w:val="22"/>
          <w:szCs w:val="22"/>
        </w:rPr>
        <w:t>innovative use of the exist</w:t>
      </w:r>
      <w:r>
        <w:rPr>
          <w:rFonts w:ascii="Calibri" w:hAnsi="Calibri"/>
          <w:sz w:val="22"/>
          <w:szCs w:val="22"/>
        </w:rPr>
        <w:t>ing provider collective network</w:t>
      </w:r>
      <w:r w:rsidRPr="007E59C0">
        <w:rPr>
          <w:rFonts w:ascii="Calibri" w:hAnsi="Calibri"/>
          <w:sz w:val="22"/>
          <w:szCs w:val="22"/>
        </w:rPr>
        <w:t xml:space="preserve"> </w:t>
      </w:r>
      <w:r>
        <w:rPr>
          <w:rFonts w:ascii="Calibri" w:hAnsi="Calibri"/>
          <w:sz w:val="22"/>
          <w:szCs w:val="22"/>
        </w:rPr>
        <w:t xml:space="preserve">alongside </w:t>
      </w:r>
      <w:r w:rsidRPr="007E59C0">
        <w:rPr>
          <w:rFonts w:ascii="Calibri" w:hAnsi="Calibri"/>
          <w:sz w:val="22"/>
          <w:szCs w:val="22"/>
        </w:rPr>
        <w:t>develop</w:t>
      </w:r>
      <w:r>
        <w:rPr>
          <w:rFonts w:ascii="Calibri" w:hAnsi="Calibri"/>
          <w:sz w:val="22"/>
          <w:szCs w:val="22"/>
        </w:rPr>
        <w:t xml:space="preserve">ment of </w:t>
      </w:r>
      <w:r w:rsidRPr="007E59C0">
        <w:rPr>
          <w:rFonts w:ascii="Calibri" w:hAnsi="Calibri"/>
          <w:sz w:val="22"/>
          <w:szCs w:val="22"/>
        </w:rPr>
        <w:t>a range of other flexible commission</w:t>
      </w:r>
      <w:r>
        <w:rPr>
          <w:rFonts w:ascii="Calibri" w:hAnsi="Calibri"/>
          <w:sz w:val="22"/>
          <w:szCs w:val="22"/>
        </w:rPr>
        <w:t>ing options.</w:t>
      </w:r>
    </w:p>
    <w:p w:rsidR="004C3179" w:rsidRDefault="004C3179" w:rsidP="00F70BF8">
      <w:pPr>
        <w:jc w:val="both"/>
        <w:rPr>
          <w:rFonts w:ascii="Calibri" w:hAnsi="Calibri"/>
          <w:b/>
          <w:sz w:val="28"/>
          <w:szCs w:val="28"/>
        </w:rPr>
      </w:pPr>
      <w:r>
        <w:rPr>
          <w:rFonts w:ascii="Calibri" w:hAnsi="Calibri"/>
          <w:b/>
          <w:sz w:val="28"/>
          <w:szCs w:val="28"/>
        </w:rPr>
        <w:br w:type="page"/>
      </w:r>
    </w:p>
    <w:p w:rsidR="00311298" w:rsidRDefault="00311298" w:rsidP="00311298">
      <w:pPr>
        <w:rPr>
          <w:rFonts w:ascii="Calibri" w:hAnsi="Calibri"/>
          <w:b/>
          <w:sz w:val="28"/>
          <w:szCs w:val="28"/>
        </w:rPr>
      </w:pPr>
      <w:r w:rsidRPr="00E57342">
        <w:rPr>
          <w:rFonts w:ascii="Calibri" w:hAnsi="Calibri"/>
          <w:b/>
          <w:sz w:val="28"/>
          <w:szCs w:val="28"/>
        </w:rPr>
        <w:lastRenderedPageBreak/>
        <w:t>FIGURE 3: Whānau Ora Future Outcomes Framework</w:t>
      </w:r>
    </w:p>
    <w:p w:rsidR="00684764" w:rsidRPr="00E57342" w:rsidRDefault="00684764" w:rsidP="00311298">
      <w:pPr>
        <w:rPr>
          <w:rFonts w:ascii="Calibri" w:hAnsi="Calibri"/>
          <w:b/>
          <w:sz w:val="28"/>
          <w:szCs w:val="28"/>
        </w:rPr>
      </w:pPr>
    </w:p>
    <w:tbl>
      <w:tblPr>
        <w:tblStyle w:val="TableGrid"/>
        <w:tblW w:w="0" w:type="auto"/>
        <w:jc w:val="center"/>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0A0" w:firstRow="1" w:lastRow="0" w:firstColumn="1" w:lastColumn="0" w:noHBand="0" w:noVBand="0"/>
      </w:tblPr>
      <w:tblGrid>
        <w:gridCol w:w="2812"/>
        <w:gridCol w:w="2920"/>
        <w:gridCol w:w="2921"/>
      </w:tblGrid>
      <w:tr w:rsidR="00684764" w:rsidRPr="00684764" w:rsidTr="00170CC9">
        <w:trPr>
          <w:trHeight w:val="513"/>
          <w:jc w:val="center"/>
        </w:trPr>
        <w:tc>
          <w:tcPr>
            <w:tcW w:w="8653" w:type="dxa"/>
            <w:gridSpan w:val="3"/>
            <w:shd w:val="clear" w:color="auto" w:fill="000000"/>
            <w:vAlign w:val="center"/>
          </w:tcPr>
          <w:p w:rsidR="00684764" w:rsidRPr="00684764" w:rsidRDefault="00684764" w:rsidP="000F40C9">
            <w:pPr>
              <w:jc w:val="center"/>
              <w:rPr>
                <w:rFonts w:asciiTheme="minorHAnsi" w:hAnsiTheme="minorHAnsi" w:cs="RotisSansExMi"/>
                <w:b/>
                <w:bCs/>
                <w:color w:val="FFFFFF" w:themeColor="background1"/>
                <w:sz w:val="40"/>
                <w:szCs w:val="40"/>
              </w:rPr>
            </w:pPr>
            <w:r w:rsidRPr="00684764">
              <w:rPr>
                <w:rFonts w:asciiTheme="minorHAnsi" w:hAnsiTheme="minorHAnsi" w:cs="RotisSansExMi"/>
                <w:b/>
                <w:bCs/>
                <w:color w:val="FFFFFF" w:themeColor="background1"/>
                <w:sz w:val="40"/>
                <w:szCs w:val="40"/>
              </w:rPr>
              <w:t>WHĀNAU ORA</w:t>
            </w:r>
          </w:p>
        </w:tc>
      </w:tr>
      <w:tr w:rsidR="00684764" w:rsidRPr="00684764" w:rsidTr="00170CC9">
        <w:trPr>
          <w:trHeight w:val="570"/>
          <w:jc w:val="center"/>
        </w:trPr>
        <w:tc>
          <w:tcPr>
            <w:tcW w:w="2812" w:type="dxa"/>
            <w:vMerge w:val="restart"/>
            <w:shd w:val="clear" w:color="auto" w:fill="A0392F"/>
            <w:vAlign w:val="center"/>
          </w:tcPr>
          <w:p w:rsidR="00684764" w:rsidRPr="00684764" w:rsidRDefault="00684764" w:rsidP="000F40C9">
            <w:pPr>
              <w:jc w:val="center"/>
              <w:rPr>
                <w:rFonts w:asciiTheme="minorHAnsi" w:hAnsiTheme="minorHAnsi" w:cs="RotisSansExMi"/>
                <w:b/>
                <w:bCs/>
                <w:color w:val="FFFFFF" w:themeColor="background1"/>
                <w:sz w:val="32"/>
                <w:szCs w:val="32"/>
              </w:rPr>
            </w:pPr>
            <w:r w:rsidRPr="00684764">
              <w:rPr>
                <w:rFonts w:asciiTheme="minorHAnsi" w:hAnsiTheme="minorHAnsi" w:cs="RotisSansExMi"/>
                <w:b/>
                <w:bCs/>
                <w:color w:val="FFFFFF" w:themeColor="background1"/>
                <w:sz w:val="32"/>
                <w:szCs w:val="32"/>
              </w:rPr>
              <w:t>Whānau and</w:t>
            </w:r>
          </w:p>
          <w:p w:rsidR="00684764" w:rsidRPr="00684764" w:rsidRDefault="00684764" w:rsidP="000F40C9">
            <w:pPr>
              <w:jc w:val="center"/>
              <w:rPr>
                <w:rFonts w:asciiTheme="minorHAnsi" w:hAnsiTheme="minorHAnsi" w:cs="RotisSansExMi"/>
                <w:b/>
                <w:bCs/>
                <w:color w:val="FFFFFF" w:themeColor="background1"/>
                <w:sz w:val="28"/>
                <w:szCs w:val="28"/>
              </w:rPr>
            </w:pPr>
            <w:r w:rsidRPr="00684764">
              <w:rPr>
                <w:rFonts w:asciiTheme="minorHAnsi" w:hAnsiTheme="minorHAnsi" w:cs="RotisSansExMi"/>
                <w:b/>
                <w:bCs/>
                <w:color w:val="FFFFFF" w:themeColor="background1"/>
                <w:sz w:val="32"/>
                <w:szCs w:val="32"/>
              </w:rPr>
              <w:t>family outcomes</w:t>
            </w:r>
          </w:p>
        </w:tc>
        <w:tc>
          <w:tcPr>
            <w:tcW w:w="2920" w:type="dxa"/>
            <w:shd w:val="clear" w:color="auto" w:fill="ECD7D5"/>
            <w:vAlign w:val="center"/>
          </w:tcPr>
          <w:p w:rsidR="00684764" w:rsidRPr="00684764" w:rsidRDefault="00684764" w:rsidP="000F40C9">
            <w:pPr>
              <w:jc w:val="center"/>
              <w:rPr>
                <w:rFonts w:asciiTheme="minorHAnsi" w:hAnsiTheme="minorHAnsi"/>
                <w:sz w:val="20"/>
              </w:rPr>
            </w:pPr>
          </w:p>
          <w:p w:rsidR="00684764" w:rsidRPr="00684764" w:rsidRDefault="00684764" w:rsidP="000F40C9">
            <w:pPr>
              <w:jc w:val="center"/>
              <w:rPr>
                <w:rFonts w:asciiTheme="minorHAnsi" w:hAnsiTheme="minorHAnsi"/>
                <w:sz w:val="20"/>
              </w:rPr>
            </w:pPr>
            <w:r w:rsidRPr="00684764">
              <w:rPr>
                <w:rFonts w:asciiTheme="minorHAnsi" w:hAnsiTheme="minorHAnsi"/>
                <w:sz w:val="20"/>
              </w:rPr>
              <w:t xml:space="preserve">Whānau and families </w:t>
            </w:r>
          </w:p>
          <w:p w:rsidR="00684764" w:rsidRPr="00684764" w:rsidRDefault="00684764" w:rsidP="000F40C9">
            <w:pPr>
              <w:jc w:val="center"/>
              <w:rPr>
                <w:rFonts w:asciiTheme="minorHAnsi" w:hAnsiTheme="minorHAnsi"/>
                <w:sz w:val="20"/>
              </w:rPr>
            </w:pPr>
            <w:r w:rsidRPr="00684764">
              <w:rPr>
                <w:rFonts w:asciiTheme="minorHAnsi" w:hAnsiTheme="minorHAnsi"/>
                <w:sz w:val="20"/>
              </w:rPr>
              <w:t xml:space="preserve">are self-managing </w:t>
            </w:r>
          </w:p>
          <w:p w:rsidR="00684764" w:rsidRPr="00684764" w:rsidRDefault="00684764" w:rsidP="000F40C9">
            <w:pPr>
              <w:jc w:val="center"/>
              <w:rPr>
                <w:rFonts w:asciiTheme="minorHAnsi" w:hAnsiTheme="minorHAnsi"/>
                <w:sz w:val="20"/>
              </w:rPr>
            </w:pPr>
          </w:p>
        </w:tc>
        <w:tc>
          <w:tcPr>
            <w:tcW w:w="2921" w:type="dxa"/>
            <w:shd w:val="clear" w:color="auto" w:fill="ECD7D5"/>
            <w:vAlign w:val="center"/>
          </w:tcPr>
          <w:p w:rsidR="00684764" w:rsidRPr="00684764" w:rsidRDefault="00684764" w:rsidP="000F40C9">
            <w:pPr>
              <w:jc w:val="center"/>
              <w:rPr>
                <w:rFonts w:asciiTheme="minorHAnsi" w:hAnsiTheme="minorHAnsi" w:cs="RotisSansMi-Light"/>
                <w:color w:val="000000"/>
                <w:sz w:val="20"/>
                <w:szCs w:val="20"/>
              </w:rPr>
            </w:pPr>
            <w:r w:rsidRPr="00684764">
              <w:rPr>
                <w:rFonts w:asciiTheme="minorHAnsi" w:hAnsiTheme="minorHAnsi" w:cs="RotisSansMi-Light"/>
                <w:color w:val="000000"/>
                <w:sz w:val="20"/>
                <w:szCs w:val="20"/>
              </w:rPr>
              <w:t xml:space="preserve">Whānau and families are </w:t>
            </w:r>
            <w:r w:rsidRPr="00684764">
              <w:rPr>
                <w:rFonts w:asciiTheme="minorHAnsi" w:hAnsiTheme="minorHAnsi" w:cs="RotisSansMi-Light"/>
                <w:color w:val="000000"/>
                <w:sz w:val="20"/>
                <w:szCs w:val="20"/>
              </w:rPr>
              <w:br/>
              <w:t>living healthy lifestyles</w:t>
            </w:r>
          </w:p>
        </w:tc>
      </w:tr>
      <w:tr w:rsidR="00684764" w:rsidRPr="00684764" w:rsidTr="00170CC9">
        <w:trPr>
          <w:trHeight w:val="798"/>
          <w:jc w:val="center"/>
        </w:trPr>
        <w:tc>
          <w:tcPr>
            <w:tcW w:w="2812" w:type="dxa"/>
            <w:vMerge/>
            <w:shd w:val="clear" w:color="auto" w:fill="A0392F"/>
            <w:vAlign w:val="center"/>
          </w:tcPr>
          <w:p w:rsidR="00684764" w:rsidRPr="00684764" w:rsidRDefault="00684764" w:rsidP="000F40C9">
            <w:pPr>
              <w:jc w:val="center"/>
              <w:rPr>
                <w:rFonts w:asciiTheme="minorHAnsi" w:hAnsiTheme="minorHAnsi" w:cs="RotisSansExMi"/>
                <w:b/>
                <w:bCs/>
                <w:color w:val="FFFFFF" w:themeColor="background1"/>
                <w:sz w:val="28"/>
                <w:szCs w:val="28"/>
              </w:rPr>
            </w:pPr>
          </w:p>
        </w:tc>
        <w:tc>
          <w:tcPr>
            <w:tcW w:w="2920" w:type="dxa"/>
            <w:shd w:val="clear" w:color="auto" w:fill="ECD7D5"/>
            <w:vAlign w:val="center"/>
          </w:tcPr>
          <w:p w:rsidR="00684764" w:rsidRPr="00684764" w:rsidRDefault="00684764" w:rsidP="000F40C9">
            <w:pPr>
              <w:jc w:val="center"/>
              <w:rPr>
                <w:rFonts w:asciiTheme="minorHAnsi" w:hAnsiTheme="minorHAnsi" w:cs="RotisSansMi-Light"/>
                <w:color w:val="000000"/>
                <w:sz w:val="20"/>
                <w:szCs w:val="20"/>
              </w:rPr>
            </w:pPr>
            <w:r w:rsidRPr="00684764">
              <w:rPr>
                <w:rFonts w:asciiTheme="minorHAnsi" w:hAnsiTheme="minorHAnsi"/>
                <w:sz w:val="20"/>
              </w:rPr>
              <w:t>Whānau and families are participating fully in society</w:t>
            </w:r>
          </w:p>
        </w:tc>
        <w:tc>
          <w:tcPr>
            <w:tcW w:w="2921" w:type="dxa"/>
            <w:shd w:val="clear" w:color="auto" w:fill="ECD7D5"/>
            <w:vAlign w:val="center"/>
          </w:tcPr>
          <w:p w:rsidR="00684764" w:rsidRPr="00684764" w:rsidRDefault="00684764" w:rsidP="000F40C9">
            <w:pPr>
              <w:jc w:val="center"/>
              <w:rPr>
                <w:rFonts w:asciiTheme="minorHAnsi" w:hAnsiTheme="minorHAnsi" w:cs="RotisSansMi-Light"/>
                <w:color w:val="000000"/>
                <w:sz w:val="20"/>
                <w:szCs w:val="20"/>
              </w:rPr>
            </w:pPr>
            <w:r w:rsidRPr="00684764">
              <w:rPr>
                <w:rFonts w:asciiTheme="minorHAnsi" w:hAnsiTheme="minorHAnsi"/>
                <w:sz w:val="20"/>
              </w:rPr>
              <w:t>Whānau and families are culturally active and confident</w:t>
            </w:r>
          </w:p>
        </w:tc>
      </w:tr>
      <w:tr w:rsidR="00684764" w:rsidRPr="00684764" w:rsidTr="00170CC9">
        <w:trPr>
          <w:trHeight w:val="570"/>
          <w:jc w:val="center"/>
        </w:trPr>
        <w:tc>
          <w:tcPr>
            <w:tcW w:w="2812" w:type="dxa"/>
            <w:vMerge/>
            <w:shd w:val="clear" w:color="auto" w:fill="A0392F"/>
            <w:vAlign w:val="center"/>
          </w:tcPr>
          <w:p w:rsidR="00684764" w:rsidRPr="00684764" w:rsidRDefault="00684764" w:rsidP="000F40C9">
            <w:pPr>
              <w:jc w:val="center"/>
              <w:rPr>
                <w:rFonts w:asciiTheme="minorHAnsi" w:hAnsiTheme="minorHAnsi" w:cs="RotisSansExMi"/>
                <w:b/>
                <w:bCs/>
                <w:color w:val="FFFFFF" w:themeColor="background1"/>
                <w:sz w:val="28"/>
                <w:szCs w:val="28"/>
              </w:rPr>
            </w:pPr>
          </w:p>
        </w:tc>
        <w:tc>
          <w:tcPr>
            <w:tcW w:w="2920" w:type="dxa"/>
            <w:shd w:val="clear" w:color="auto" w:fill="ECD7D5"/>
            <w:vAlign w:val="center"/>
          </w:tcPr>
          <w:p w:rsidR="00684764" w:rsidRPr="00684764" w:rsidRDefault="00684764" w:rsidP="000F40C9">
            <w:pPr>
              <w:jc w:val="center"/>
              <w:rPr>
                <w:rFonts w:asciiTheme="minorHAnsi" w:hAnsiTheme="minorHAnsi"/>
                <w:bCs/>
                <w:spacing w:val="-4"/>
                <w:sz w:val="20"/>
                <w:lang w:val="en-NZ"/>
              </w:rPr>
            </w:pPr>
            <w:r w:rsidRPr="00684764">
              <w:rPr>
                <w:rFonts w:asciiTheme="minorHAnsi" w:hAnsiTheme="minorHAnsi"/>
                <w:bCs/>
                <w:spacing w:val="-4"/>
                <w:sz w:val="20"/>
                <w:lang w:val="en-NZ"/>
              </w:rPr>
              <w:br/>
              <w:t xml:space="preserve">Whānau and families are economically secure and successfully involved in </w:t>
            </w:r>
          </w:p>
          <w:p w:rsidR="00684764" w:rsidRPr="00684764" w:rsidRDefault="00684764" w:rsidP="000F40C9">
            <w:pPr>
              <w:jc w:val="center"/>
              <w:rPr>
                <w:rFonts w:asciiTheme="minorHAnsi" w:hAnsiTheme="minorHAnsi"/>
                <w:bCs/>
                <w:spacing w:val="-4"/>
                <w:sz w:val="20"/>
                <w:lang w:val="en-NZ"/>
              </w:rPr>
            </w:pPr>
            <w:r w:rsidRPr="00684764">
              <w:rPr>
                <w:rFonts w:asciiTheme="minorHAnsi" w:hAnsiTheme="minorHAnsi"/>
                <w:bCs/>
                <w:spacing w:val="-4"/>
                <w:sz w:val="20"/>
                <w:lang w:val="en-NZ"/>
              </w:rPr>
              <w:t>wealth creation</w:t>
            </w:r>
            <w:r w:rsidRPr="00684764">
              <w:rPr>
                <w:rFonts w:asciiTheme="minorHAnsi" w:hAnsiTheme="minorHAnsi"/>
                <w:bCs/>
                <w:i/>
                <w:iCs/>
                <w:spacing w:val="-4"/>
                <w:sz w:val="20"/>
                <w:lang w:val="en-NZ"/>
              </w:rPr>
              <w:t xml:space="preserve"> </w:t>
            </w:r>
            <w:r w:rsidRPr="00684764">
              <w:rPr>
                <w:rFonts w:asciiTheme="minorHAnsi" w:hAnsiTheme="minorHAnsi"/>
                <w:bCs/>
                <w:i/>
                <w:iCs/>
                <w:spacing w:val="-4"/>
                <w:sz w:val="20"/>
                <w:lang w:val="en-NZ"/>
              </w:rPr>
              <w:br/>
            </w:r>
          </w:p>
        </w:tc>
        <w:tc>
          <w:tcPr>
            <w:tcW w:w="2921" w:type="dxa"/>
            <w:shd w:val="clear" w:color="auto" w:fill="ECD7D5"/>
            <w:vAlign w:val="center"/>
          </w:tcPr>
          <w:p w:rsidR="00684764" w:rsidRPr="00684764" w:rsidRDefault="00684764" w:rsidP="000F40C9">
            <w:pPr>
              <w:jc w:val="center"/>
              <w:rPr>
                <w:rFonts w:asciiTheme="minorHAnsi" w:hAnsiTheme="minorHAnsi" w:cs="RotisSansMi-Light"/>
                <w:color w:val="000000"/>
                <w:spacing w:val="-4"/>
                <w:sz w:val="20"/>
                <w:szCs w:val="20"/>
              </w:rPr>
            </w:pPr>
            <w:r w:rsidRPr="00684764">
              <w:rPr>
                <w:rFonts w:asciiTheme="minorHAnsi" w:hAnsiTheme="minorHAnsi" w:cs="RotisSansMi-Light"/>
                <w:color w:val="000000"/>
                <w:spacing w:val="-4"/>
                <w:sz w:val="20"/>
                <w:szCs w:val="20"/>
              </w:rPr>
              <w:t xml:space="preserve">Whānau and families </w:t>
            </w:r>
          </w:p>
          <w:p w:rsidR="00684764" w:rsidRPr="00684764" w:rsidRDefault="00684764" w:rsidP="000F40C9">
            <w:pPr>
              <w:jc w:val="center"/>
              <w:rPr>
                <w:rFonts w:asciiTheme="minorHAnsi" w:hAnsiTheme="minorHAnsi" w:cs="RotisSansMi-Light"/>
                <w:color w:val="000000"/>
                <w:spacing w:val="-4"/>
                <w:sz w:val="20"/>
                <w:szCs w:val="20"/>
              </w:rPr>
            </w:pPr>
            <w:r w:rsidRPr="00684764">
              <w:rPr>
                <w:rFonts w:asciiTheme="minorHAnsi" w:hAnsiTheme="minorHAnsi" w:cs="RotisSansMi-Light"/>
                <w:color w:val="000000"/>
                <w:spacing w:val="-4"/>
                <w:sz w:val="20"/>
                <w:szCs w:val="20"/>
              </w:rPr>
              <w:t xml:space="preserve">are cohesive, resilient </w:t>
            </w:r>
          </w:p>
          <w:p w:rsidR="00684764" w:rsidRPr="00684764" w:rsidRDefault="00684764" w:rsidP="000F40C9">
            <w:pPr>
              <w:jc w:val="center"/>
              <w:rPr>
                <w:rFonts w:asciiTheme="minorHAnsi" w:hAnsiTheme="minorHAnsi" w:cs="RotisSansMi-Light"/>
                <w:color w:val="000000"/>
                <w:spacing w:val="-4"/>
                <w:sz w:val="20"/>
                <w:szCs w:val="20"/>
              </w:rPr>
            </w:pPr>
            <w:r w:rsidRPr="00684764">
              <w:rPr>
                <w:rFonts w:asciiTheme="minorHAnsi" w:hAnsiTheme="minorHAnsi" w:cs="RotisSansMi-Light"/>
                <w:color w:val="000000"/>
                <w:spacing w:val="-4"/>
                <w:sz w:val="20"/>
                <w:szCs w:val="20"/>
              </w:rPr>
              <w:t>and nurturing</w:t>
            </w:r>
          </w:p>
        </w:tc>
      </w:tr>
      <w:tr w:rsidR="00684764" w:rsidRPr="00684764" w:rsidTr="00170CC9">
        <w:trPr>
          <w:trHeight w:val="570"/>
          <w:jc w:val="center"/>
        </w:trPr>
        <w:tc>
          <w:tcPr>
            <w:tcW w:w="2812" w:type="dxa"/>
            <w:vMerge w:val="restart"/>
            <w:shd w:val="clear" w:color="auto" w:fill="5DB243"/>
            <w:vAlign w:val="center"/>
          </w:tcPr>
          <w:p w:rsidR="00684764" w:rsidRPr="00684764" w:rsidRDefault="00684764" w:rsidP="000F40C9">
            <w:pPr>
              <w:jc w:val="center"/>
              <w:rPr>
                <w:rFonts w:asciiTheme="minorHAnsi" w:hAnsiTheme="minorHAnsi" w:cs="RotisSansExMi"/>
                <w:b/>
                <w:bCs/>
                <w:color w:val="FFFFFF" w:themeColor="background1"/>
                <w:sz w:val="32"/>
                <w:szCs w:val="32"/>
              </w:rPr>
            </w:pPr>
            <w:r w:rsidRPr="00684764">
              <w:rPr>
                <w:rFonts w:asciiTheme="minorHAnsi" w:hAnsiTheme="minorHAnsi" w:cs="RotisSansExMi"/>
                <w:b/>
                <w:bCs/>
                <w:color w:val="FFFFFF" w:themeColor="background1"/>
                <w:sz w:val="32"/>
                <w:szCs w:val="32"/>
              </w:rPr>
              <w:t>Whānau and</w:t>
            </w:r>
          </w:p>
          <w:p w:rsidR="00684764" w:rsidRPr="00684764" w:rsidRDefault="00684764" w:rsidP="000F40C9">
            <w:pPr>
              <w:jc w:val="center"/>
              <w:rPr>
                <w:rFonts w:asciiTheme="minorHAnsi" w:hAnsiTheme="minorHAnsi" w:cs="RotisSansExMi"/>
                <w:b/>
                <w:bCs/>
                <w:color w:val="FFFFFF" w:themeColor="background1"/>
                <w:sz w:val="28"/>
                <w:szCs w:val="28"/>
              </w:rPr>
            </w:pPr>
            <w:r w:rsidRPr="00684764">
              <w:rPr>
                <w:rFonts w:asciiTheme="minorHAnsi" w:hAnsiTheme="minorHAnsi" w:cs="RotisSansExMi"/>
                <w:b/>
                <w:bCs/>
                <w:color w:val="FFFFFF" w:themeColor="background1"/>
                <w:sz w:val="32"/>
                <w:szCs w:val="32"/>
              </w:rPr>
              <w:t>family capability</w:t>
            </w:r>
          </w:p>
        </w:tc>
        <w:tc>
          <w:tcPr>
            <w:tcW w:w="2920" w:type="dxa"/>
            <w:shd w:val="clear" w:color="auto" w:fill="DFF0D9"/>
            <w:vAlign w:val="center"/>
          </w:tcPr>
          <w:p w:rsidR="00684764" w:rsidRPr="00684764" w:rsidRDefault="00684764" w:rsidP="000F40C9">
            <w:pPr>
              <w:jc w:val="center"/>
              <w:rPr>
                <w:rFonts w:asciiTheme="minorHAnsi" w:hAnsiTheme="minorHAnsi"/>
                <w:sz w:val="20"/>
              </w:rPr>
            </w:pPr>
            <w:r w:rsidRPr="00684764">
              <w:rPr>
                <w:rFonts w:asciiTheme="minorHAnsi" w:hAnsiTheme="minorHAnsi"/>
                <w:sz w:val="20"/>
                <w:lang w:val="en-NZ"/>
              </w:rPr>
              <w:t xml:space="preserve">Income </w:t>
            </w:r>
            <w:r w:rsidRPr="00684764">
              <w:rPr>
                <w:rFonts w:asciiTheme="minorHAnsi" w:hAnsiTheme="minorHAnsi"/>
                <w:sz w:val="20"/>
              </w:rPr>
              <w:t xml:space="preserve">generation </w:t>
            </w:r>
          </w:p>
          <w:p w:rsidR="00684764" w:rsidRPr="00684764" w:rsidRDefault="00684764" w:rsidP="000F40C9">
            <w:pPr>
              <w:jc w:val="center"/>
              <w:rPr>
                <w:rFonts w:asciiTheme="minorHAnsi" w:hAnsiTheme="minorHAnsi"/>
                <w:sz w:val="20"/>
              </w:rPr>
            </w:pPr>
            <w:r w:rsidRPr="00684764">
              <w:rPr>
                <w:rFonts w:asciiTheme="minorHAnsi" w:hAnsiTheme="minorHAnsi"/>
                <w:sz w:val="20"/>
              </w:rPr>
              <w:t>and financial literacy</w:t>
            </w:r>
          </w:p>
        </w:tc>
        <w:tc>
          <w:tcPr>
            <w:tcW w:w="2921" w:type="dxa"/>
            <w:shd w:val="clear" w:color="auto" w:fill="DFF0D9"/>
            <w:vAlign w:val="center"/>
          </w:tcPr>
          <w:p w:rsidR="00684764" w:rsidRPr="00684764" w:rsidRDefault="00684764" w:rsidP="000F40C9">
            <w:pPr>
              <w:jc w:val="center"/>
              <w:rPr>
                <w:rFonts w:asciiTheme="minorHAnsi" w:hAnsiTheme="minorHAnsi" w:cs="RotisSansMi-Light"/>
                <w:color w:val="000000"/>
                <w:sz w:val="20"/>
                <w:szCs w:val="20"/>
                <w:lang w:val="en-NZ"/>
              </w:rPr>
            </w:pPr>
          </w:p>
          <w:p w:rsidR="00684764" w:rsidRPr="00684764" w:rsidRDefault="00684764" w:rsidP="000F40C9">
            <w:pPr>
              <w:jc w:val="center"/>
              <w:rPr>
                <w:rFonts w:asciiTheme="minorHAnsi" w:hAnsiTheme="minorHAnsi" w:cs="RotisSansMi-Light"/>
                <w:color w:val="000000"/>
                <w:sz w:val="20"/>
                <w:szCs w:val="20"/>
                <w:lang w:val="en-NZ"/>
              </w:rPr>
            </w:pPr>
            <w:r w:rsidRPr="00684764">
              <w:rPr>
                <w:rFonts w:asciiTheme="minorHAnsi" w:hAnsiTheme="minorHAnsi" w:cs="RotisSansMi-Light"/>
                <w:color w:val="000000"/>
                <w:sz w:val="20"/>
                <w:szCs w:val="20"/>
                <w:lang w:val="en-NZ"/>
              </w:rPr>
              <w:t>Engagement in</w:t>
            </w:r>
          </w:p>
          <w:p w:rsidR="00684764" w:rsidRPr="00684764" w:rsidRDefault="00684764" w:rsidP="000F40C9">
            <w:pPr>
              <w:jc w:val="center"/>
              <w:rPr>
                <w:rFonts w:asciiTheme="minorHAnsi" w:hAnsiTheme="minorHAnsi" w:cs="RotisSansMi-Light"/>
                <w:color w:val="000000"/>
                <w:sz w:val="20"/>
                <w:szCs w:val="20"/>
                <w:lang w:val="en-NZ"/>
              </w:rPr>
            </w:pPr>
            <w:r w:rsidRPr="00684764">
              <w:rPr>
                <w:rFonts w:asciiTheme="minorHAnsi" w:hAnsiTheme="minorHAnsi" w:cs="RotisSansMi-Light"/>
                <w:color w:val="000000"/>
                <w:sz w:val="20"/>
                <w:szCs w:val="20"/>
                <w:lang w:val="en-NZ"/>
              </w:rPr>
              <w:t>life-long learning</w:t>
            </w:r>
          </w:p>
          <w:p w:rsidR="00684764" w:rsidRPr="00684764" w:rsidRDefault="00684764" w:rsidP="000F40C9">
            <w:pPr>
              <w:jc w:val="center"/>
              <w:rPr>
                <w:rFonts w:asciiTheme="minorHAnsi" w:hAnsiTheme="minorHAnsi" w:cs="RotisSansMi-Light"/>
                <w:color w:val="000000"/>
                <w:sz w:val="20"/>
                <w:szCs w:val="20"/>
                <w:lang w:val="en-NZ"/>
              </w:rPr>
            </w:pPr>
          </w:p>
        </w:tc>
      </w:tr>
      <w:tr w:rsidR="00684764" w:rsidRPr="00684764" w:rsidTr="00170CC9">
        <w:trPr>
          <w:trHeight w:val="798"/>
          <w:jc w:val="center"/>
        </w:trPr>
        <w:tc>
          <w:tcPr>
            <w:tcW w:w="2812" w:type="dxa"/>
            <w:vMerge/>
            <w:shd w:val="clear" w:color="auto" w:fill="5DB243"/>
            <w:textDirection w:val="btLr"/>
            <w:vAlign w:val="center"/>
          </w:tcPr>
          <w:p w:rsidR="00684764" w:rsidRPr="00684764" w:rsidRDefault="00684764" w:rsidP="000F40C9">
            <w:pPr>
              <w:ind w:left="113" w:right="113"/>
              <w:jc w:val="center"/>
              <w:rPr>
                <w:rFonts w:asciiTheme="minorHAnsi" w:hAnsiTheme="minorHAnsi" w:cs="RotisSansExMi"/>
                <w:b/>
                <w:bCs/>
                <w:color w:val="FFFFFF" w:themeColor="background1"/>
                <w:sz w:val="28"/>
                <w:szCs w:val="28"/>
              </w:rPr>
            </w:pPr>
          </w:p>
        </w:tc>
        <w:tc>
          <w:tcPr>
            <w:tcW w:w="2920" w:type="dxa"/>
            <w:shd w:val="clear" w:color="auto" w:fill="DFF0D9"/>
            <w:vAlign w:val="center"/>
          </w:tcPr>
          <w:p w:rsidR="00684764" w:rsidRPr="00684764" w:rsidRDefault="00684764" w:rsidP="000F40C9">
            <w:pPr>
              <w:jc w:val="center"/>
              <w:rPr>
                <w:rFonts w:asciiTheme="minorHAnsi" w:hAnsiTheme="minorHAnsi"/>
                <w:sz w:val="20"/>
              </w:rPr>
            </w:pPr>
            <w:r w:rsidRPr="00684764">
              <w:rPr>
                <w:rFonts w:asciiTheme="minorHAnsi" w:hAnsiTheme="minorHAnsi"/>
                <w:sz w:val="20"/>
              </w:rPr>
              <w:t>Employability</w:t>
            </w:r>
          </w:p>
        </w:tc>
        <w:tc>
          <w:tcPr>
            <w:tcW w:w="2921" w:type="dxa"/>
            <w:shd w:val="clear" w:color="auto" w:fill="DFF0D9"/>
            <w:vAlign w:val="center"/>
          </w:tcPr>
          <w:p w:rsidR="00684764" w:rsidRPr="00684764" w:rsidRDefault="00684764" w:rsidP="000F40C9">
            <w:pPr>
              <w:jc w:val="center"/>
              <w:rPr>
                <w:rFonts w:asciiTheme="minorHAnsi" w:hAnsiTheme="minorHAnsi" w:cs="RotisSansMi-Light"/>
                <w:color w:val="000000"/>
                <w:sz w:val="20"/>
                <w:szCs w:val="20"/>
                <w:lang w:val="en-NZ"/>
              </w:rPr>
            </w:pPr>
            <w:r w:rsidRPr="00684764">
              <w:rPr>
                <w:rFonts w:asciiTheme="minorHAnsi" w:hAnsiTheme="minorHAnsi" w:cs="RotisSansMi-Light"/>
                <w:color w:val="000000"/>
                <w:sz w:val="20"/>
                <w:szCs w:val="20"/>
                <w:lang w:val="en-NZ"/>
              </w:rPr>
              <w:t>Communication</w:t>
            </w:r>
          </w:p>
        </w:tc>
      </w:tr>
      <w:tr w:rsidR="00684764" w:rsidRPr="00684764" w:rsidTr="00170CC9">
        <w:trPr>
          <w:trHeight w:val="570"/>
          <w:jc w:val="center"/>
        </w:trPr>
        <w:tc>
          <w:tcPr>
            <w:tcW w:w="2812" w:type="dxa"/>
            <w:vMerge/>
            <w:shd w:val="clear" w:color="auto" w:fill="5DB243"/>
            <w:textDirection w:val="btLr"/>
            <w:vAlign w:val="center"/>
          </w:tcPr>
          <w:p w:rsidR="00684764" w:rsidRPr="00684764" w:rsidRDefault="00684764" w:rsidP="000F40C9">
            <w:pPr>
              <w:ind w:left="113" w:right="113"/>
              <w:jc w:val="center"/>
              <w:rPr>
                <w:rFonts w:asciiTheme="minorHAnsi" w:hAnsiTheme="minorHAnsi" w:cs="RotisSansExMi"/>
                <w:b/>
                <w:bCs/>
                <w:color w:val="FFFFFF" w:themeColor="background1"/>
                <w:sz w:val="28"/>
                <w:szCs w:val="28"/>
              </w:rPr>
            </w:pPr>
          </w:p>
        </w:tc>
        <w:tc>
          <w:tcPr>
            <w:tcW w:w="2920" w:type="dxa"/>
            <w:shd w:val="clear" w:color="auto" w:fill="DFF0D9"/>
            <w:vAlign w:val="center"/>
          </w:tcPr>
          <w:p w:rsidR="00684764" w:rsidRPr="00684764" w:rsidRDefault="00684764" w:rsidP="000F40C9">
            <w:pPr>
              <w:jc w:val="center"/>
              <w:rPr>
                <w:rFonts w:asciiTheme="minorHAnsi" w:hAnsiTheme="minorHAnsi" w:cs="RotisSansMi-Light"/>
                <w:color w:val="000000"/>
                <w:sz w:val="20"/>
                <w:szCs w:val="20"/>
              </w:rPr>
            </w:pPr>
            <w:r w:rsidRPr="00684764">
              <w:rPr>
                <w:rFonts w:asciiTheme="minorHAnsi" w:hAnsiTheme="minorHAnsi"/>
                <w:sz w:val="20"/>
              </w:rPr>
              <w:t>Technological literacy</w:t>
            </w:r>
          </w:p>
        </w:tc>
        <w:tc>
          <w:tcPr>
            <w:tcW w:w="2921" w:type="dxa"/>
            <w:shd w:val="clear" w:color="auto" w:fill="DFF0D9"/>
            <w:vAlign w:val="center"/>
          </w:tcPr>
          <w:p w:rsidR="00684764" w:rsidRPr="00684764" w:rsidRDefault="00684764" w:rsidP="000F40C9">
            <w:pPr>
              <w:jc w:val="center"/>
              <w:rPr>
                <w:rFonts w:asciiTheme="minorHAnsi" w:hAnsiTheme="minorHAnsi" w:cs="RotisSansMi-Light"/>
                <w:color w:val="000000"/>
                <w:sz w:val="20"/>
                <w:szCs w:val="20"/>
              </w:rPr>
            </w:pPr>
            <w:r w:rsidRPr="00684764">
              <w:rPr>
                <w:rFonts w:asciiTheme="minorHAnsi" w:hAnsiTheme="minorHAnsi"/>
                <w:sz w:val="20"/>
              </w:rPr>
              <w:t>Manaakitanga/care-giving</w:t>
            </w:r>
          </w:p>
        </w:tc>
      </w:tr>
      <w:tr w:rsidR="00684764" w:rsidRPr="00684764" w:rsidTr="00170CC9">
        <w:trPr>
          <w:trHeight w:val="570"/>
          <w:jc w:val="center"/>
        </w:trPr>
        <w:tc>
          <w:tcPr>
            <w:tcW w:w="2812" w:type="dxa"/>
            <w:vMerge/>
            <w:shd w:val="clear" w:color="auto" w:fill="5DB243"/>
            <w:textDirection w:val="btLr"/>
            <w:vAlign w:val="center"/>
          </w:tcPr>
          <w:p w:rsidR="00684764" w:rsidRPr="00684764" w:rsidRDefault="00684764" w:rsidP="000F40C9">
            <w:pPr>
              <w:ind w:left="113" w:right="113"/>
              <w:jc w:val="center"/>
              <w:rPr>
                <w:rFonts w:asciiTheme="minorHAnsi" w:hAnsiTheme="minorHAnsi" w:cs="RotisSansExMi"/>
                <w:b/>
                <w:bCs/>
                <w:color w:val="FFFFFF" w:themeColor="background1"/>
                <w:sz w:val="28"/>
                <w:szCs w:val="28"/>
              </w:rPr>
            </w:pPr>
          </w:p>
        </w:tc>
        <w:tc>
          <w:tcPr>
            <w:tcW w:w="2920" w:type="dxa"/>
            <w:shd w:val="clear" w:color="auto" w:fill="DFF0D9"/>
            <w:vAlign w:val="center"/>
          </w:tcPr>
          <w:p w:rsidR="00684764" w:rsidRPr="00684764" w:rsidRDefault="00684764" w:rsidP="000F40C9">
            <w:pPr>
              <w:jc w:val="center"/>
              <w:rPr>
                <w:rFonts w:asciiTheme="minorHAnsi" w:hAnsiTheme="minorHAnsi"/>
                <w:sz w:val="20"/>
              </w:rPr>
            </w:pPr>
            <w:r w:rsidRPr="00684764">
              <w:rPr>
                <w:rFonts w:asciiTheme="minorHAnsi" w:hAnsiTheme="minorHAnsi"/>
                <w:sz w:val="20"/>
              </w:rPr>
              <w:br/>
              <w:t xml:space="preserve">Healthy lifestyles </w:t>
            </w:r>
          </w:p>
          <w:p w:rsidR="00684764" w:rsidRPr="00684764" w:rsidRDefault="00684764" w:rsidP="000F40C9">
            <w:pPr>
              <w:jc w:val="center"/>
              <w:rPr>
                <w:rFonts w:asciiTheme="minorHAnsi" w:hAnsiTheme="minorHAnsi"/>
                <w:sz w:val="20"/>
              </w:rPr>
            </w:pPr>
            <w:r w:rsidRPr="00684764">
              <w:rPr>
                <w:rFonts w:asciiTheme="minorHAnsi" w:hAnsiTheme="minorHAnsi"/>
                <w:sz w:val="20"/>
              </w:rPr>
              <w:t>and health literacy</w:t>
            </w:r>
          </w:p>
          <w:p w:rsidR="00684764" w:rsidRPr="00684764" w:rsidRDefault="00684764" w:rsidP="000F40C9">
            <w:pPr>
              <w:jc w:val="center"/>
              <w:rPr>
                <w:rFonts w:asciiTheme="minorHAnsi" w:hAnsiTheme="minorHAnsi"/>
                <w:sz w:val="20"/>
              </w:rPr>
            </w:pPr>
          </w:p>
        </w:tc>
        <w:tc>
          <w:tcPr>
            <w:tcW w:w="2921" w:type="dxa"/>
            <w:shd w:val="clear" w:color="auto" w:fill="DFF0D9"/>
            <w:vAlign w:val="center"/>
          </w:tcPr>
          <w:p w:rsidR="00684764" w:rsidRPr="00684764" w:rsidRDefault="00684764" w:rsidP="000F40C9">
            <w:pPr>
              <w:jc w:val="center"/>
              <w:rPr>
                <w:rFonts w:asciiTheme="minorHAnsi" w:hAnsiTheme="minorHAnsi" w:cs="RotisSansMi-Light"/>
                <w:color w:val="000000"/>
                <w:sz w:val="20"/>
                <w:szCs w:val="20"/>
              </w:rPr>
            </w:pPr>
            <w:r w:rsidRPr="00684764">
              <w:rPr>
                <w:rFonts w:asciiTheme="minorHAnsi" w:hAnsiTheme="minorHAnsi" w:cs="RotisSansMi-Light"/>
                <w:color w:val="000000"/>
                <w:sz w:val="20"/>
                <w:szCs w:val="20"/>
              </w:rPr>
              <w:br/>
              <w:t xml:space="preserve">Cultural (language and custom) </w:t>
            </w:r>
          </w:p>
          <w:p w:rsidR="00684764" w:rsidRPr="00684764" w:rsidRDefault="00684764" w:rsidP="000F40C9">
            <w:pPr>
              <w:jc w:val="center"/>
              <w:rPr>
                <w:rFonts w:asciiTheme="minorHAnsi" w:hAnsiTheme="minorHAnsi" w:cs="RotisSansMi-Light"/>
                <w:color w:val="000000"/>
                <w:sz w:val="20"/>
                <w:szCs w:val="20"/>
              </w:rPr>
            </w:pPr>
            <w:r w:rsidRPr="00684764">
              <w:rPr>
                <w:rFonts w:asciiTheme="minorHAnsi" w:hAnsiTheme="minorHAnsi" w:cs="RotisSansMi-Light"/>
                <w:color w:val="000000"/>
                <w:sz w:val="20"/>
                <w:szCs w:val="20"/>
              </w:rPr>
              <w:t>literacy and engagement</w:t>
            </w:r>
          </w:p>
          <w:p w:rsidR="00684764" w:rsidRPr="00684764" w:rsidRDefault="00684764" w:rsidP="000F40C9">
            <w:pPr>
              <w:jc w:val="center"/>
              <w:rPr>
                <w:rFonts w:asciiTheme="minorHAnsi" w:hAnsiTheme="minorHAnsi" w:cs="RotisSansMi-Light"/>
                <w:color w:val="000000"/>
                <w:sz w:val="20"/>
                <w:szCs w:val="20"/>
              </w:rPr>
            </w:pPr>
          </w:p>
        </w:tc>
      </w:tr>
      <w:tr w:rsidR="00684764" w:rsidRPr="00684764" w:rsidTr="00170CC9">
        <w:trPr>
          <w:trHeight w:val="570"/>
          <w:jc w:val="center"/>
        </w:trPr>
        <w:tc>
          <w:tcPr>
            <w:tcW w:w="2812" w:type="dxa"/>
            <w:vMerge w:val="restart"/>
            <w:shd w:val="clear" w:color="auto" w:fill="98948E"/>
            <w:vAlign w:val="center"/>
          </w:tcPr>
          <w:p w:rsidR="00684764" w:rsidRPr="00684764" w:rsidRDefault="00684764" w:rsidP="000F40C9">
            <w:pPr>
              <w:jc w:val="center"/>
              <w:rPr>
                <w:rFonts w:asciiTheme="minorHAnsi" w:hAnsiTheme="minorHAnsi" w:cs="RotisSansExMi"/>
                <w:b/>
                <w:bCs/>
                <w:color w:val="000000"/>
                <w:sz w:val="32"/>
                <w:szCs w:val="32"/>
              </w:rPr>
            </w:pPr>
            <w:r w:rsidRPr="00684764">
              <w:rPr>
                <w:rFonts w:asciiTheme="minorHAnsi" w:hAnsiTheme="minorHAnsi" w:cs="RotisSansExMi"/>
                <w:b/>
                <w:bCs/>
                <w:color w:val="FFFFFF" w:themeColor="background1"/>
                <w:sz w:val="32"/>
                <w:szCs w:val="32"/>
              </w:rPr>
              <w:t>Commissioning agencies</w:t>
            </w:r>
          </w:p>
        </w:tc>
        <w:tc>
          <w:tcPr>
            <w:tcW w:w="5841" w:type="dxa"/>
            <w:gridSpan w:val="2"/>
            <w:shd w:val="clear" w:color="auto" w:fill="EAEAE8"/>
            <w:vAlign w:val="center"/>
          </w:tcPr>
          <w:p w:rsidR="00684764" w:rsidRPr="00684764" w:rsidRDefault="00684764" w:rsidP="000F40C9">
            <w:pPr>
              <w:jc w:val="center"/>
              <w:rPr>
                <w:rFonts w:asciiTheme="minorHAnsi" w:hAnsiTheme="minorHAnsi" w:cs="RotisSansMi-Light"/>
                <w:color w:val="000000"/>
                <w:sz w:val="20"/>
                <w:szCs w:val="20"/>
              </w:rPr>
            </w:pPr>
            <w:r w:rsidRPr="00684764">
              <w:rPr>
                <w:rFonts w:asciiTheme="minorHAnsi" w:hAnsiTheme="minorHAnsi"/>
                <w:sz w:val="20"/>
              </w:rPr>
              <w:t>Commissioning for gains in whānau and family capability</w:t>
            </w:r>
          </w:p>
        </w:tc>
      </w:tr>
      <w:tr w:rsidR="00684764" w:rsidRPr="00684764" w:rsidTr="00170CC9">
        <w:trPr>
          <w:trHeight w:val="570"/>
          <w:jc w:val="center"/>
        </w:trPr>
        <w:tc>
          <w:tcPr>
            <w:tcW w:w="2812" w:type="dxa"/>
            <w:vMerge/>
            <w:shd w:val="clear" w:color="auto" w:fill="98948E"/>
            <w:vAlign w:val="center"/>
          </w:tcPr>
          <w:p w:rsidR="00684764" w:rsidRPr="00684764" w:rsidRDefault="00684764" w:rsidP="000F40C9">
            <w:pPr>
              <w:jc w:val="center"/>
              <w:rPr>
                <w:rFonts w:asciiTheme="minorHAnsi" w:hAnsiTheme="minorHAnsi" w:cs="RotisSansExMi"/>
                <w:b/>
                <w:bCs/>
                <w:color w:val="000000"/>
                <w:sz w:val="28"/>
                <w:szCs w:val="28"/>
              </w:rPr>
            </w:pPr>
          </w:p>
        </w:tc>
        <w:tc>
          <w:tcPr>
            <w:tcW w:w="5841" w:type="dxa"/>
            <w:gridSpan w:val="2"/>
            <w:shd w:val="clear" w:color="auto" w:fill="EAEAE8"/>
            <w:vAlign w:val="center"/>
          </w:tcPr>
          <w:p w:rsidR="00684764" w:rsidRPr="00684764" w:rsidRDefault="00684764" w:rsidP="000F40C9">
            <w:pPr>
              <w:jc w:val="center"/>
              <w:rPr>
                <w:rFonts w:asciiTheme="minorHAnsi" w:hAnsiTheme="minorHAnsi" w:cs="RotisSansMi-Light"/>
                <w:color w:val="000000"/>
                <w:sz w:val="20"/>
                <w:szCs w:val="20"/>
              </w:rPr>
            </w:pPr>
            <w:r w:rsidRPr="00684764">
              <w:rPr>
                <w:rFonts w:asciiTheme="minorHAnsi" w:hAnsiTheme="minorHAnsi"/>
                <w:sz w:val="20"/>
              </w:rPr>
              <w:t>Active collaboration with funded groups to support reporting</w:t>
            </w:r>
          </w:p>
        </w:tc>
      </w:tr>
      <w:tr w:rsidR="00684764" w:rsidRPr="00684764" w:rsidTr="00170CC9">
        <w:trPr>
          <w:trHeight w:val="570"/>
          <w:jc w:val="center"/>
        </w:trPr>
        <w:tc>
          <w:tcPr>
            <w:tcW w:w="2812" w:type="dxa"/>
            <w:vMerge/>
            <w:shd w:val="clear" w:color="auto" w:fill="98948E"/>
            <w:vAlign w:val="center"/>
          </w:tcPr>
          <w:p w:rsidR="00684764" w:rsidRPr="00684764" w:rsidRDefault="00684764" w:rsidP="000F40C9">
            <w:pPr>
              <w:jc w:val="center"/>
              <w:rPr>
                <w:rFonts w:asciiTheme="minorHAnsi" w:hAnsiTheme="minorHAnsi" w:cs="RotisSansExMi"/>
                <w:b/>
                <w:bCs/>
                <w:color w:val="000000"/>
                <w:sz w:val="28"/>
                <w:szCs w:val="28"/>
              </w:rPr>
            </w:pPr>
          </w:p>
        </w:tc>
        <w:tc>
          <w:tcPr>
            <w:tcW w:w="5841" w:type="dxa"/>
            <w:gridSpan w:val="2"/>
            <w:shd w:val="clear" w:color="auto" w:fill="EAEAE8"/>
            <w:vAlign w:val="center"/>
          </w:tcPr>
          <w:p w:rsidR="00684764" w:rsidRPr="00684764" w:rsidRDefault="00684764" w:rsidP="000F40C9">
            <w:pPr>
              <w:jc w:val="center"/>
              <w:rPr>
                <w:rFonts w:asciiTheme="minorHAnsi" w:hAnsiTheme="minorHAnsi" w:cs="RotisSansMi-Light"/>
                <w:color w:val="000000"/>
                <w:sz w:val="20"/>
                <w:szCs w:val="20"/>
              </w:rPr>
            </w:pPr>
            <w:r w:rsidRPr="00684764">
              <w:rPr>
                <w:rFonts w:asciiTheme="minorHAnsi" w:hAnsiTheme="minorHAnsi"/>
                <w:sz w:val="20"/>
              </w:rPr>
              <w:t>National reach and regional networks</w:t>
            </w:r>
          </w:p>
        </w:tc>
      </w:tr>
      <w:tr w:rsidR="00684764" w:rsidRPr="00684764" w:rsidTr="00170CC9">
        <w:trPr>
          <w:trHeight w:val="570"/>
          <w:jc w:val="center"/>
        </w:trPr>
        <w:tc>
          <w:tcPr>
            <w:tcW w:w="2812" w:type="dxa"/>
            <w:vMerge/>
            <w:tcBorders>
              <w:bottom w:val="single" w:sz="12" w:space="0" w:color="FFFFFF" w:themeColor="background1"/>
            </w:tcBorders>
            <w:shd w:val="clear" w:color="auto" w:fill="98948E"/>
            <w:vAlign w:val="center"/>
          </w:tcPr>
          <w:p w:rsidR="00684764" w:rsidRPr="00684764" w:rsidRDefault="00684764" w:rsidP="000F40C9">
            <w:pPr>
              <w:jc w:val="center"/>
              <w:rPr>
                <w:rFonts w:asciiTheme="minorHAnsi" w:hAnsiTheme="minorHAnsi" w:cs="RotisSansExMi"/>
                <w:b/>
                <w:bCs/>
                <w:color w:val="000000"/>
                <w:sz w:val="28"/>
                <w:szCs w:val="28"/>
              </w:rPr>
            </w:pPr>
          </w:p>
        </w:tc>
        <w:tc>
          <w:tcPr>
            <w:tcW w:w="2920" w:type="dxa"/>
            <w:tcBorders>
              <w:bottom w:val="single" w:sz="12" w:space="0" w:color="FFFFFF" w:themeColor="background1"/>
            </w:tcBorders>
            <w:shd w:val="clear" w:color="auto" w:fill="EAEAE8"/>
            <w:vAlign w:val="center"/>
          </w:tcPr>
          <w:p w:rsidR="00684764" w:rsidRPr="00684764" w:rsidRDefault="00684764" w:rsidP="000F40C9">
            <w:pPr>
              <w:jc w:val="center"/>
              <w:rPr>
                <w:rFonts w:asciiTheme="minorHAnsi" w:hAnsiTheme="minorHAnsi" w:cs="RotisSansMi-Light"/>
                <w:color w:val="000000"/>
                <w:sz w:val="20"/>
                <w:szCs w:val="20"/>
              </w:rPr>
            </w:pPr>
          </w:p>
          <w:p w:rsidR="00684764" w:rsidRPr="00684764" w:rsidRDefault="00684764" w:rsidP="000F40C9">
            <w:pPr>
              <w:jc w:val="center"/>
              <w:rPr>
                <w:rFonts w:asciiTheme="minorHAnsi" w:hAnsiTheme="minorHAnsi" w:cs="RotisSansMi-Light"/>
                <w:color w:val="000000"/>
                <w:sz w:val="20"/>
                <w:szCs w:val="20"/>
              </w:rPr>
            </w:pPr>
            <w:r w:rsidRPr="00684764">
              <w:rPr>
                <w:rFonts w:asciiTheme="minorHAnsi" w:hAnsiTheme="minorHAnsi" w:cs="RotisSansMi-Light"/>
                <w:color w:val="000000"/>
                <w:sz w:val="20"/>
                <w:szCs w:val="20"/>
              </w:rPr>
              <w:t xml:space="preserve">Effective financial controls </w:t>
            </w:r>
          </w:p>
          <w:p w:rsidR="00684764" w:rsidRPr="00684764" w:rsidRDefault="00684764" w:rsidP="000F40C9">
            <w:pPr>
              <w:jc w:val="center"/>
              <w:rPr>
                <w:rFonts w:asciiTheme="minorHAnsi" w:hAnsiTheme="minorHAnsi" w:cs="RotisSansMi-Light"/>
                <w:color w:val="000000"/>
                <w:sz w:val="20"/>
                <w:szCs w:val="20"/>
              </w:rPr>
            </w:pPr>
            <w:r w:rsidRPr="00684764">
              <w:rPr>
                <w:rFonts w:asciiTheme="minorHAnsi" w:hAnsiTheme="minorHAnsi" w:cs="RotisSansMi-Light"/>
                <w:color w:val="000000"/>
                <w:sz w:val="20"/>
                <w:szCs w:val="20"/>
              </w:rPr>
              <w:t>and reporting systems</w:t>
            </w:r>
          </w:p>
          <w:p w:rsidR="00684764" w:rsidRPr="00684764" w:rsidRDefault="00684764" w:rsidP="000F40C9">
            <w:pPr>
              <w:jc w:val="center"/>
              <w:rPr>
                <w:rFonts w:asciiTheme="minorHAnsi" w:hAnsiTheme="minorHAnsi" w:cs="RotisSansMi-Light"/>
                <w:color w:val="000000"/>
                <w:sz w:val="20"/>
                <w:szCs w:val="20"/>
              </w:rPr>
            </w:pPr>
          </w:p>
        </w:tc>
        <w:tc>
          <w:tcPr>
            <w:tcW w:w="2921" w:type="dxa"/>
            <w:tcBorders>
              <w:bottom w:val="single" w:sz="12" w:space="0" w:color="FFFFFF" w:themeColor="background1"/>
            </w:tcBorders>
            <w:shd w:val="clear" w:color="auto" w:fill="EAEAE8"/>
            <w:vAlign w:val="center"/>
          </w:tcPr>
          <w:p w:rsidR="00684764" w:rsidRPr="00684764" w:rsidRDefault="00684764" w:rsidP="000F40C9">
            <w:pPr>
              <w:jc w:val="center"/>
              <w:rPr>
                <w:rFonts w:asciiTheme="minorHAnsi" w:hAnsiTheme="minorHAnsi" w:cs="RotisSansMi-Light"/>
                <w:color w:val="000000"/>
                <w:sz w:val="20"/>
                <w:szCs w:val="20"/>
              </w:rPr>
            </w:pPr>
          </w:p>
          <w:p w:rsidR="00684764" w:rsidRPr="00684764" w:rsidRDefault="00684764" w:rsidP="000F40C9">
            <w:pPr>
              <w:jc w:val="center"/>
              <w:rPr>
                <w:rFonts w:asciiTheme="minorHAnsi" w:hAnsiTheme="minorHAnsi" w:cs="RotisSansMi-Light"/>
                <w:color w:val="000000"/>
                <w:sz w:val="20"/>
                <w:szCs w:val="20"/>
              </w:rPr>
            </w:pPr>
            <w:r w:rsidRPr="00684764">
              <w:rPr>
                <w:rFonts w:asciiTheme="minorHAnsi" w:hAnsiTheme="minorHAnsi" w:cs="RotisSansMi-Light"/>
                <w:color w:val="000000"/>
                <w:sz w:val="20"/>
                <w:szCs w:val="20"/>
              </w:rPr>
              <w:t xml:space="preserve">Effective contract </w:t>
            </w:r>
          </w:p>
          <w:p w:rsidR="00684764" w:rsidRPr="00684764" w:rsidRDefault="00684764" w:rsidP="000F40C9">
            <w:pPr>
              <w:jc w:val="center"/>
              <w:rPr>
                <w:rFonts w:asciiTheme="minorHAnsi" w:hAnsiTheme="minorHAnsi" w:cs="RotisSansMi-Light"/>
                <w:color w:val="000000"/>
                <w:sz w:val="20"/>
                <w:szCs w:val="20"/>
              </w:rPr>
            </w:pPr>
            <w:r w:rsidRPr="00684764">
              <w:rPr>
                <w:rFonts w:asciiTheme="minorHAnsi" w:hAnsiTheme="minorHAnsi" w:cs="RotisSansMi-Light"/>
                <w:color w:val="000000"/>
                <w:sz w:val="20"/>
                <w:szCs w:val="20"/>
              </w:rPr>
              <w:t>management systems</w:t>
            </w:r>
          </w:p>
          <w:p w:rsidR="00684764" w:rsidRPr="00684764" w:rsidRDefault="00684764" w:rsidP="000F40C9">
            <w:pPr>
              <w:jc w:val="center"/>
              <w:rPr>
                <w:rFonts w:asciiTheme="minorHAnsi" w:hAnsiTheme="minorHAnsi" w:cs="RotisSansMi-Light"/>
                <w:color w:val="000000"/>
                <w:sz w:val="20"/>
                <w:szCs w:val="20"/>
              </w:rPr>
            </w:pPr>
          </w:p>
        </w:tc>
      </w:tr>
      <w:tr w:rsidR="00684764" w:rsidRPr="00684764" w:rsidTr="00170CC9">
        <w:trPr>
          <w:trHeight w:val="570"/>
          <w:jc w:val="center"/>
        </w:trPr>
        <w:tc>
          <w:tcPr>
            <w:tcW w:w="2812" w:type="dxa"/>
            <w:vMerge w:val="restart"/>
            <w:shd w:val="clear" w:color="auto" w:fill="92CDDC" w:themeFill="accent5" w:themeFillTint="99"/>
            <w:vAlign w:val="center"/>
          </w:tcPr>
          <w:p w:rsidR="00684764" w:rsidRPr="00684764" w:rsidRDefault="00684764" w:rsidP="000F40C9">
            <w:pPr>
              <w:jc w:val="center"/>
              <w:rPr>
                <w:rFonts w:asciiTheme="minorHAnsi" w:hAnsiTheme="minorHAnsi" w:cs="RotisSansExMi"/>
                <w:b/>
                <w:bCs/>
                <w:color w:val="000000"/>
                <w:sz w:val="32"/>
                <w:szCs w:val="32"/>
              </w:rPr>
            </w:pPr>
            <w:r w:rsidRPr="00684764">
              <w:rPr>
                <w:rFonts w:asciiTheme="minorHAnsi" w:hAnsiTheme="minorHAnsi" w:cs="RotisSansExMi"/>
                <w:b/>
                <w:bCs/>
                <w:color w:val="FFFFFF" w:themeColor="background1"/>
                <w:sz w:val="32"/>
                <w:szCs w:val="32"/>
              </w:rPr>
              <w:t>Administering department</w:t>
            </w:r>
          </w:p>
        </w:tc>
        <w:tc>
          <w:tcPr>
            <w:tcW w:w="2920" w:type="dxa"/>
            <w:shd w:val="clear" w:color="auto" w:fill="DAEEF3" w:themeFill="accent5" w:themeFillTint="33"/>
            <w:vAlign w:val="center"/>
          </w:tcPr>
          <w:p w:rsidR="00684764" w:rsidRPr="00684764" w:rsidRDefault="00684764" w:rsidP="000F40C9">
            <w:pPr>
              <w:jc w:val="center"/>
              <w:rPr>
                <w:rFonts w:asciiTheme="minorHAnsi" w:hAnsiTheme="minorHAnsi" w:cs="RotisSansMi-Light"/>
                <w:color w:val="000000"/>
                <w:sz w:val="20"/>
                <w:szCs w:val="20"/>
              </w:rPr>
            </w:pPr>
            <w:r w:rsidRPr="00684764">
              <w:rPr>
                <w:rFonts w:asciiTheme="minorHAnsi" w:hAnsiTheme="minorHAnsi" w:cs="RotisSansMi-Light"/>
                <w:color w:val="000000"/>
                <w:sz w:val="20"/>
                <w:szCs w:val="20"/>
              </w:rPr>
              <w:t>Effective contract management and evaluation systems</w:t>
            </w:r>
          </w:p>
        </w:tc>
        <w:tc>
          <w:tcPr>
            <w:tcW w:w="2921" w:type="dxa"/>
            <w:shd w:val="clear" w:color="auto" w:fill="DAEEF3" w:themeFill="accent5" w:themeFillTint="33"/>
            <w:vAlign w:val="center"/>
          </w:tcPr>
          <w:p w:rsidR="00684764" w:rsidRPr="00684764" w:rsidRDefault="00684764" w:rsidP="000F40C9">
            <w:pPr>
              <w:jc w:val="center"/>
              <w:rPr>
                <w:rFonts w:asciiTheme="minorHAnsi" w:hAnsiTheme="minorHAnsi" w:cs="RotisSansMi-Light"/>
                <w:color w:val="000000"/>
                <w:sz w:val="20"/>
                <w:szCs w:val="20"/>
              </w:rPr>
            </w:pPr>
          </w:p>
          <w:p w:rsidR="00684764" w:rsidRPr="00684764" w:rsidRDefault="00684764" w:rsidP="000F40C9">
            <w:pPr>
              <w:jc w:val="center"/>
              <w:rPr>
                <w:rFonts w:asciiTheme="minorHAnsi" w:hAnsiTheme="minorHAnsi" w:cs="RotisSansMi-Light"/>
                <w:color w:val="000000"/>
                <w:sz w:val="20"/>
                <w:szCs w:val="20"/>
              </w:rPr>
            </w:pPr>
            <w:r w:rsidRPr="00684764">
              <w:rPr>
                <w:rFonts w:asciiTheme="minorHAnsi" w:hAnsiTheme="minorHAnsi" w:cs="RotisSansMi-Light"/>
                <w:color w:val="000000"/>
                <w:sz w:val="20"/>
                <w:szCs w:val="20"/>
              </w:rPr>
              <w:t>Quality interagency and wider stakeholder engagement</w:t>
            </w:r>
          </w:p>
          <w:p w:rsidR="00684764" w:rsidRPr="00684764" w:rsidRDefault="00684764" w:rsidP="000F40C9">
            <w:pPr>
              <w:jc w:val="center"/>
              <w:rPr>
                <w:rFonts w:asciiTheme="minorHAnsi" w:hAnsiTheme="minorHAnsi" w:cs="RotisSansMi-Light"/>
                <w:color w:val="000000"/>
                <w:sz w:val="20"/>
                <w:szCs w:val="20"/>
              </w:rPr>
            </w:pPr>
          </w:p>
        </w:tc>
      </w:tr>
      <w:tr w:rsidR="00684764" w:rsidRPr="00684764" w:rsidTr="00170CC9">
        <w:trPr>
          <w:trHeight w:val="570"/>
          <w:jc w:val="center"/>
        </w:trPr>
        <w:tc>
          <w:tcPr>
            <w:tcW w:w="2812" w:type="dxa"/>
            <w:vMerge/>
            <w:shd w:val="clear" w:color="auto" w:fill="92CDDC" w:themeFill="accent5" w:themeFillTint="99"/>
            <w:vAlign w:val="center"/>
          </w:tcPr>
          <w:p w:rsidR="00684764" w:rsidRPr="00684764" w:rsidRDefault="00684764" w:rsidP="000F40C9">
            <w:pPr>
              <w:jc w:val="center"/>
              <w:rPr>
                <w:rFonts w:asciiTheme="minorHAnsi" w:hAnsiTheme="minorHAnsi" w:cs="RotisSansExMi"/>
                <w:b/>
                <w:bCs/>
                <w:color w:val="000000"/>
                <w:sz w:val="20"/>
                <w:szCs w:val="20"/>
              </w:rPr>
            </w:pPr>
          </w:p>
        </w:tc>
        <w:tc>
          <w:tcPr>
            <w:tcW w:w="2920" w:type="dxa"/>
            <w:shd w:val="clear" w:color="auto" w:fill="DAEEF3" w:themeFill="accent5" w:themeFillTint="33"/>
            <w:vAlign w:val="center"/>
          </w:tcPr>
          <w:p w:rsidR="00684764" w:rsidRPr="00684764" w:rsidRDefault="00684764" w:rsidP="000F40C9">
            <w:pPr>
              <w:jc w:val="center"/>
              <w:rPr>
                <w:rFonts w:asciiTheme="minorHAnsi" w:hAnsiTheme="minorHAnsi" w:cs="RotisSansMi-Light"/>
                <w:color w:val="000000"/>
                <w:sz w:val="20"/>
                <w:szCs w:val="20"/>
              </w:rPr>
            </w:pPr>
          </w:p>
          <w:p w:rsidR="00684764" w:rsidRPr="00684764" w:rsidRDefault="00684764" w:rsidP="000F40C9">
            <w:pPr>
              <w:jc w:val="center"/>
              <w:rPr>
                <w:rFonts w:asciiTheme="minorHAnsi" w:hAnsiTheme="minorHAnsi" w:cs="RotisSansMi-Light"/>
                <w:color w:val="000000"/>
                <w:sz w:val="20"/>
                <w:szCs w:val="20"/>
              </w:rPr>
            </w:pPr>
            <w:r w:rsidRPr="00684764">
              <w:rPr>
                <w:rFonts w:asciiTheme="minorHAnsi" w:hAnsiTheme="minorHAnsi" w:cs="RotisSansMi-Light"/>
                <w:color w:val="000000"/>
                <w:sz w:val="20"/>
                <w:szCs w:val="20"/>
              </w:rPr>
              <w:t>Effective servicing of the Whānau Ora Partnership Group</w:t>
            </w:r>
          </w:p>
          <w:p w:rsidR="00684764" w:rsidRPr="00684764" w:rsidRDefault="00684764" w:rsidP="000F40C9">
            <w:pPr>
              <w:jc w:val="center"/>
              <w:rPr>
                <w:rFonts w:asciiTheme="minorHAnsi" w:hAnsiTheme="minorHAnsi" w:cs="RotisSansMi-Light"/>
                <w:color w:val="000000"/>
                <w:sz w:val="20"/>
                <w:szCs w:val="20"/>
              </w:rPr>
            </w:pPr>
          </w:p>
        </w:tc>
        <w:tc>
          <w:tcPr>
            <w:tcW w:w="2921" w:type="dxa"/>
            <w:shd w:val="clear" w:color="auto" w:fill="DAEEF3" w:themeFill="accent5" w:themeFillTint="33"/>
            <w:vAlign w:val="center"/>
          </w:tcPr>
          <w:p w:rsidR="00684764" w:rsidRPr="00684764" w:rsidRDefault="00684764" w:rsidP="000F40C9">
            <w:pPr>
              <w:jc w:val="center"/>
              <w:rPr>
                <w:rFonts w:asciiTheme="minorHAnsi" w:hAnsiTheme="minorHAnsi" w:cs="RotisSansMi-Light"/>
                <w:color w:val="000000"/>
                <w:sz w:val="20"/>
                <w:szCs w:val="20"/>
              </w:rPr>
            </w:pPr>
          </w:p>
          <w:p w:rsidR="00684764" w:rsidRPr="00684764" w:rsidRDefault="00684764" w:rsidP="000F40C9">
            <w:pPr>
              <w:jc w:val="center"/>
              <w:rPr>
                <w:rFonts w:asciiTheme="minorHAnsi" w:hAnsiTheme="minorHAnsi" w:cs="RotisSansMi-Light"/>
                <w:color w:val="000000"/>
                <w:sz w:val="20"/>
                <w:szCs w:val="20"/>
              </w:rPr>
            </w:pPr>
            <w:r w:rsidRPr="00684764">
              <w:rPr>
                <w:rFonts w:asciiTheme="minorHAnsi" w:hAnsiTheme="minorHAnsi" w:cs="RotisSansMi-Light"/>
                <w:color w:val="000000"/>
                <w:sz w:val="20"/>
                <w:szCs w:val="20"/>
              </w:rPr>
              <w:t xml:space="preserve">Effective and appropriate </w:t>
            </w:r>
          </w:p>
          <w:p w:rsidR="00684764" w:rsidRPr="00684764" w:rsidRDefault="00684764" w:rsidP="000F40C9">
            <w:pPr>
              <w:jc w:val="center"/>
              <w:rPr>
                <w:rFonts w:asciiTheme="minorHAnsi" w:hAnsiTheme="minorHAnsi" w:cs="RotisSansMi-Light"/>
                <w:color w:val="000000"/>
                <w:sz w:val="20"/>
                <w:szCs w:val="20"/>
              </w:rPr>
            </w:pPr>
            <w:r w:rsidRPr="00684764">
              <w:rPr>
                <w:rFonts w:asciiTheme="minorHAnsi" w:hAnsiTheme="minorHAnsi" w:cs="RotisSansMi-Light"/>
                <w:color w:val="000000"/>
                <w:sz w:val="20"/>
                <w:szCs w:val="20"/>
              </w:rPr>
              <w:t>policy setting</w:t>
            </w:r>
          </w:p>
          <w:p w:rsidR="00684764" w:rsidRPr="00684764" w:rsidRDefault="00684764" w:rsidP="000F40C9">
            <w:pPr>
              <w:jc w:val="center"/>
              <w:rPr>
                <w:rFonts w:asciiTheme="minorHAnsi" w:hAnsiTheme="minorHAnsi" w:cs="RotisSansMi-Light"/>
                <w:color w:val="000000"/>
                <w:sz w:val="20"/>
                <w:szCs w:val="20"/>
              </w:rPr>
            </w:pPr>
          </w:p>
        </w:tc>
      </w:tr>
    </w:tbl>
    <w:p w:rsidR="00684764" w:rsidRPr="00B61DAD" w:rsidRDefault="00684764" w:rsidP="00684764">
      <w:pPr>
        <w:jc w:val="center"/>
        <w:rPr>
          <w:rFonts w:asciiTheme="majorHAnsi" w:hAnsiTheme="majorHAnsi"/>
          <w:sz w:val="20"/>
        </w:rPr>
      </w:pPr>
    </w:p>
    <w:p w:rsidR="00311298" w:rsidRDefault="00311298" w:rsidP="00311298">
      <w:pPr>
        <w:rPr>
          <w:rFonts w:ascii="Calibri" w:hAnsi="Calibri"/>
          <w:sz w:val="22"/>
          <w:szCs w:val="22"/>
        </w:rPr>
      </w:pPr>
    </w:p>
    <w:p w:rsidR="00311298" w:rsidRDefault="00311298" w:rsidP="00311298">
      <w:pPr>
        <w:rPr>
          <w:rFonts w:ascii="Calibri" w:hAnsi="Calibri"/>
          <w:b/>
          <w:sz w:val="28"/>
          <w:szCs w:val="28"/>
        </w:rPr>
      </w:pPr>
    </w:p>
    <w:p w:rsidR="00311298" w:rsidRPr="00DD5548" w:rsidRDefault="00311298" w:rsidP="00F70BF8">
      <w:pPr>
        <w:jc w:val="both"/>
        <w:rPr>
          <w:rFonts w:ascii="Calibri" w:hAnsi="Calibri"/>
          <w:b/>
          <w:sz w:val="28"/>
          <w:szCs w:val="28"/>
        </w:rPr>
      </w:pPr>
      <w:r w:rsidRPr="00DD5548">
        <w:rPr>
          <w:rFonts w:ascii="Calibri" w:hAnsi="Calibri"/>
          <w:b/>
          <w:sz w:val="28"/>
          <w:szCs w:val="28"/>
        </w:rPr>
        <w:lastRenderedPageBreak/>
        <w:t xml:space="preserve">Partner and Support Agencies </w:t>
      </w:r>
    </w:p>
    <w:p w:rsidR="00311298" w:rsidRPr="002A7E80" w:rsidRDefault="00F82028" w:rsidP="00F70BF8">
      <w:pPr>
        <w:jc w:val="both"/>
        <w:rPr>
          <w:rFonts w:ascii="Calibri" w:hAnsi="Calibri"/>
          <w:b/>
          <w:sz w:val="16"/>
          <w:szCs w:val="16"/>
        </w:rPr>
      </w:pPr>
      <w:r>
        <w:rPr>
          <w:rFonts w:ascii="Calibri" w:hAnsi="Calibri"/>
          <w:sz w:val="22"/>
          <w:szCs w:val="22"/>
        </w:rPr>
        <w:pict>
          <v:rect id="_x0000_i1037" style="width:415.65pt;height:1.5pt" o:hralign="center" o:hrstd="t" o:hr="t" fillcolor="#aca899" stroked="f"/>
        </w:pict>
      </w:r>
    </w:p>
    <w:p w:rsidR="00311298" w:rsidRPr="00684764" w:rsidRDefault="00311298" w:rsidP="00F70BF8">
      <w:pPr>
        <w:pStyle w:val="ListParagraph"/>
        <w:ind w:left="360"/>
        <w:jc w:val="both"/>
        <w:rPr>
          <w:rFonts w:ascii="Calibri" w:hAnsi="Calibri"/>
          <w:sz w:val="16"/>
          <w:szCs w:val="16"/>
        </w:rPr>
      </w:pPr>
    </w:p>
    <w:p w:rsidR="00F70BF8" w:rsidRDefault="00311298" w:rsidP="00F70BF8">
      <w:pPr>
        <w:pStyle w:val="ListParagraph"/>
        <w:numPr>
          <w:ilvl w:val="0"/>
          <w:numId w:val="1"/>
        </w:numPr>
        <w:jc w:val="both"/>
        <w:rPr>
          <w:rFonts w:ascii="Calibri" w:hAnsi="Calibri"/>
          <w:sz w:val="22"/>
          <w:szCs w:val="22"/>
        </w:rPr>
      </w:pPr>
      <w:r>
        <w:rPr>
          <w:rFonts w:ascii="Calibri" w:hAnsi="Calibri"/>
          <w:sz w:val="22"/>
          <w:szCs w:val="22"/>
        </w:rPr>
        <w:t>Lead sector departments will c</w:t>
      </w:r>
      <w:r w:rsidRPr="002D7FA8">
        <w:rPr>
          <w:rFonts w:ascii="Calibri" w:hAnsi="Calibri"/>
          <w:sz w:val="22"/>
          <w:szCs w:val="22"/>
        </w:rPr>
        <w:t xml:space="preserve">ontinue to foster and build service capability, delivery and partnering opportunities with </w:t>
      </w:r>
      <w:r w:rsidRPr="00262037">
        <w:rPr>
          <w:rFonts w:ascii="Calibri" w:hAnsi="Calibri"/>
          <w:sz w:val="22"/>
          <w:szCs w:val="22"/>
        </w:rPr>
        <w:t>Wh</w:t>
      </w:r>
      <w:r>
        <w:rPr>
          <w:rFonts w:ascii="Calibri" w:hAnsi="Calibri"/>
          <w:sz w:val="22"/>
          <w:szCs w:val="22"/>
        </w:rPr>
        <w:t>ā</w:t>
      </w:r>
      <w:r w:rsidRPr="00262037">
        <w:rPr>
          <w:rFonts w:ascii="Calibri" w:hAnsi="Calibri"/>
          <w:sz w:val="22"/>
          <w:szCs w:val="22"/>
        </w:rPr>
        <w:t>nau Ora</w:t>
      </w:r>
      <w:r w:rsidRPr="002D7FA8">
        <w:rPr>
          <w:rFonts w:ascii="Calibri" w:hAnsi="Calibri"/>
          <w:sz w:val="22"/>
          <w:szCs w:val="22"/>
        </w:rPr>
        <w:t xml:space="preserve"> provider collectives in order to achieve improved outcomes for vulnerable families and their members.</w:t>
      </w:r>
    </w:p>
    <w:p w:rsidR="00F70BF8" w:rsidRDefault="00F70BF8" w:rsidP="00F70BF8">
      <w:pPr>
        <w:pStyle w:val="ListParagraph"/>
        <w:ind w:left="360"/>
        <w:jc w:val="both"/>
        <w:rPr>
          <w:rFonts w:ascii="Calibri" w:hAnsi="Calibri"/>
          <w:sz w:val="22"/>
          <w:szCs w:val="22"/>
        </w:rPr>
      </w:pPr>
    </w:p>
    <w:p w:rsidR="00311298" w:rsidRDefault="00F70BF8" w:rsidP="00F70BF8">
      <w:pPr>
        <w:pStyle w:val="ListParagraph"/>
        <w:numPr>
          <w:ilvl w:val="0"/>
          <w:numId w:val="1"/>
        </w:numPr>
        <w:jc w:val="both"/>
        <w:rPr>
          <w:rFonts w:ascii="Calibri" w:hAnsi="Calibri"/>
          <w:sz w:val="22"/>
          <w:szCs w:val="22"/>
        </w:rPr>
      </w:pPr>
      <w:r w:rsidRPr="00F70BF8">
        <w:rPr>
          <w:rFonts w:ascii="Calibri" w:hAnsi="Calibri"/>
          <w:sz w:val="22"/>
          <w:szCs w:val="22"/>
        </w:rPr>
        <w:t>The Mi</w:t>
      </w:r>
      <w:r>
        <w:rPr>
          <w:rFonts w:ascii="Calibri" w:hAnsi="Calibri"/>
          <w:sz w:val="22"/>
          <w:szCs w:val="22"/>
        </w:rPr>
        <w:t xml:space="preserve">nistry of Health </w:t>
      </w:r>
      <w:r w:rsidRPr="00F70BF8">
        <w:rPr>
          <w:rFonts w:ascii="Calibri" w:hAnsi="Calibri"/>
          <w:sz w:val="22"/>
          <w:szCs w:val="22"/>
        </w:rPr>
        <w:t>– on behalf of Te Puni Kōkiri – is responsible for leading the information systems component of the Whānau Ora programme.</w:t>
      </w:r>
      <w:r>
        <w:rPr>
          <w:rFonts w:ascii="Calibri" w:hAnsi="Calibri"/>
          <w:sz w:val="22"/>
          <w:szCs w:val="22"/>
        </w:rPr>
        <w:t xml:space="preserve"> </w:t>
      </w:r>
      <w:r w:rsidRPr="00F70BF8">
        <w:rPr>
          <w:rFonts w:ascii="Calibri" w:hAnsi="Calibri"/>
          <w:sz w:val="22"/>
          <w:szCs w:val="22"/>
        </w:rPr>
        <w:t>The Ministry is currently developing a Request for Proposal (RFP) for a Whāna</w:t>
      </w:r>
      <w:r>
        <w:rPr>
          <w:rFonts w:ascii="Calibri" w:hAnsi="Calibri"/>
          <w:sz w:val="22"/>
          <w:szCs w:val="22"/>
        </w:rPr>
        <w:t xml:space="preserve">u Ora Information System (WOIS) </w:t>
      </w:r>
      <w:r w:rsidRPr="00F70BF8">
        <w:rPr>
          <w:rFonts w:ascii="Calibri" w:hAnsi="Calibri"/>
          <w:sz w:val="22"/>
          <w:szCs w:val="22"/>
        </w:rPr>
        <w:t>to be released on the Government Electronic Tendering Services (GETS). The Ministry intends to release the RFP on GETS before August 31 2013.</w:t>
      </w:r>
    </w:p>
    <w:p w:rsidR="00F70BF8" w:rsidRPr="00F70BF8" w:rsidRDefault="00F70BF8" w:rsidP="00F70BF8">
      <w:pPr>
        <w:jc w:val="both"/>
        <w:rPr>
          <w:rFonts w:ascii="Calibri" w:hAnsi="Calibri"/>
          <w:sz w:val="22"/>
          <w:szCs w:val="22"/>
        </w:rPr>
      </w:pPr>
    </w:p>
    <w:p w:rsidR="00311298" w:rsidRPr="00DD5548" w:rsidRDefault="00311298" w:rsidP="00F70BF8">
      <w:pPr>
        <w:jc w:val="both"/>
        <w:rPr>
          <w:rFonts w:ascii="Calibri" w:hAnsi="Calibri"/>
          <w:b/>
          <w:sz w:val="28"/>
          <w:szCs w:val="28"/>
        </w:rPr>
      </w:pPr>
      <w:r w:rsidRPr="00DD5548">
        <w:rPr>
          <w:rFonts w:ascii="Calibri" w:hAnsi="Calibri"/>
          <w:b/>
          <w:sz w:val="28"/>
          <w:szCs w:val="28"/>
        </w:rPr>
        <w:t xml:space="preserve">Pacific </w:t>
      </w:r>
    </w:p>
    <w:p w:rsidR="00311298" w:rsidRPr="002A7E80" w:rsidRDefault="00F82028" w:rsidP="00F70BF8">
      <w:pPr>
        <w:jc w:val="both"/>
        <w:rPr>
          <w:rFonts w:ascii="Calibri" w:hAnsi="Calibri"/>
          <w:b/>
          <w:sz w:val="16"/>
          <w:szCs w:val="16"/>
        </w:rPr>
      </w:pPr>
      <w:r>
        <w:rPr>
          <w:rFonts w:ascii="Calibri" w:hAnsi="Calibri"/>
          <w:sz w:val="22"/>
          <w:szCs w:val="22"/>
        </w:rPr>
        <w:pict>
          <v:rect id="_x0000_i1038" style="width:415.65pt;height:1.5pt" o:hralign="center" o:hrstd="t" o:hr="t" fillcolor="#aca899" stroked="f"/>
        </w:pict>
      </w:r>
    </w:p>
    <w:p w:rsidR="00311298" w:rsidRPr="00F70BF8" w:rsidRDefault="00311298" w:rsidP="00F70BF8">
      <w:pPr>
        <w:pStyle w:val="ListParagraph"/>
        <w:ind w:left="360"/>
        <w:jc w:val="both"/>
        <w:rPr>
          <w:rFonts w:ascii="Calibri" w:hAnsi="Calibri"/>
          <w:sz w:val="16"/>
          <w:szCs w:val="16"/>
        </w:rPr>
      </w:pPr>
    </w:p>
    <w:p w:rsidR="00311298" w:rsidRDefault="00311298" w:rsidP="00F70BF8">
      <w:pPr>
        <w:pStyle w:val="ListParagraph"/>
        <w:numPr>
          <w:ilvl w:val="0"/>
          <w:numId w:val="1"/>
        </w:numPr>
        <w:jc w:val="both"/>
        <w:rPr>
          <w:rFonts w:ascii="Calibri" w:hAnsi="Calibri"/>
          <w:sz w:val="22"/>
          <w:szCs w:val="22"/>
        </w:rPr>
      </w:pPr>
      <w:r>
        <w:rPr>
          <w:rFonts w:ascii="Calibri" w:hAnsi="Calibri"/>
          <w:sz w:val="22"/>
          <w:szCs w:val="22"/>
        </w:rPr>
        <w:t>C</w:t>
      </w:r>
      <w:r w:rsidRPr="00262037">
        <w:rPr>
          <w:rFonts w:ascii="Calibri" w:hAnsi="Calibri"/>
          <w:sz w:val="22"/>
          <w:szCs w:val="22"/>
        </w:rPr>
        <w:t>onsultation with Wh</w:t>
      </w:r>
      <w:r>
        <w:rPr>
          <w:rFonts w:ascii="Calibri" w:hAnsi="Calibri"/>
          <w:sz w:val="22"/>
          <w:szCs w:val="22"/>
        </w:rPr>
        <w:t>ā</w:t>
      </w:r>
      <w:r w:rsidRPr="00262037">
        <w:rPr>
          <w:rFonts w:ascii="Calibri" w:hAnsi="Calibri"/>
          <w:sz w:val="22"/>
          <w:szCs w:val="22"/>
        </w:rPr>
        <w:t>nau Ora s</w:t>
      </w:r>
      <w:r>
        <w:rPr>
          <w:rFonts w:ascii="Calibri" w:hAnsi="Calibri"/>
          <w:sz w:val="22"/>
          <w:szCs w:val="22"/>
        </w:rPr>
        <w:t>takeholders has highlighted the</w:t>
      </w:r>
      <w:r w:rsidRPr="00262037">
        <w:rPr>
          <w:rFonts w:ascii="Calibri" w:hAnsi="Calibri"/>
          <w:sz w:val="22"/>
          <w:szCs w:val="22"/>
        </w:rPr>
        <w:t xml:space="preserve"> importance of developing clearer pathways for engaging Pacific famil</w:t>
      </w:r>
      <w:r>
        <w:rPr>
          <w:rFonts w:ascii="Calibri" w:hAnsi="Calibri"/>
          <w:sz w:val="22"/>
          <w:szCs w:val="22"/>
        </w:rPr>
        <w:t xml:space="preserve">ies and communities through </w:t>
      </w:r>
      <w:r w:rsidRPr="00262037">
        <w:rPr>
          <w:rFonts w:ascii="Calibri" w:hAnsi="Calibri"/>
          <w:sz w:val="22"/>
          <w:szCs w:val="22"/>
        </w:rPr>
        <w:t>Wh</w:t>
      </w:r>
      <w:r>
        <w:rPr>
          <w:rFonts w:ascii="Calibri" w:hAnsi="Calibri"/>
          <w:sz w:val="22"/>
          <w:szCs w:val="22"/>
        </w:rPr>
        <w:t>ānau Ora</w:t>
      </w:r>
      <w:r w:rsidRPr="00262037">
        <w:rPr>
          <w:rFonts w:ascii="Calibri" w:hAnsi="Calibri"/>
          <w:sz w:val="22"/>
          <w:szCs w:val="22"/>
        </w:rPr>
        <w:t>.</w:t>
      </w:r>
    </w:p>
    <w:p w:rsidR="00311298" w:rsidRDefault="00311298" w:rsidP="00F70BF8">
      <w:pPr>
        <w:jc w:val="both"/>
        <w:rPr>
          <w:rFonts w:ascii="Calibri" w:hAnsi="Calibri"/>
          <w:sz w:val="22"/>
          <w:szCs w:val="22"/>
        </w:rPr>
      </w:pPr>
    </w:p>
    <w:p w:rsidR="00311298" w:rsidRDefault="00311298" w:rsidP="00F70BF8">
      <w:pPr>
        <w:pStyle w:val="ListParagraph"/>
        <w:numPr>
          <w:ilvl w:val="0"/>
          <w:numId w:val="1"/>
        </w:numPr>
        <w:jc w:val="both"/>
        <w:rPr>
          <w:rFonts w:ascii="Calibri" w:hAnsi="Calibri"/>
          <w:sz w:val="22"/>
          <w:szCs w:val="22"/>
        </w:rPr>
      </w:pPr>
      <w:r w:rsidRPr="00E365FF">
        <w:rPr>
          <w:rFonts w:ascii="Calibri" w:hAnsi="Calibri"/>
          <w:sz w:val="22"/>
          <w:szCs w:val="22"/>
        </w:rPr>
        <w:t>As part of the next phase of implementation, the Government is committed to creating the space and opportunity for Pacific peoples to define for themselves what</w:t>
      </w:r>
      <w:r>
        <w:rPr>
          <w:rFonts w:ascii="Calibri" w:hAnsi="Calibri"/>
          <w:sz w:val="22"/>
          <w:szCs w:val="22"/>
        </w:rPr>
        <w:t xml:space="preserve"> </w:t>
      </w:r>
      <w:r w:rsidRPr="00E365FF">
        <w:rPr>
          <w:rFonts w:ascii="Calibri" w:hAnsi="Calibri"/>
          <w:sz w:val="22"/>
          <w:szCs w:val="22"/>
        </w:rPr>
        <w:t>Whānau Ora means to their families and what it will look like.</w:t>
      </w:r>
    </w:p>
    <w:p w:rsidR="00311298" w:rsidRPr="00E365FF" w:rsidRDefault="00311298" w:rsidP="00F70BF8">
      <w:pPr>
        <w:pStyle w:val="ListParagraph"/>
        <w:jc w:val="both"/>
        <w:rPr>
          <w:rFonts w:ascii="Calibri" w:hAnsi="Calibri"/>
          <w:sz w:val="22"/>
          <w:szCs w:val="22"/>
        </w:rPr>
      </w:pPr>
    </w:p>
    <w:p w:rsidR="00311298" w:rsidRDefault="00311298" w:rsidP="00F70BF8">
      <w:pPr>
        <w:pStyle w:val="ListParagraph"/>
        <w:numPr>
          <w:ilvl w:val="0"/>
          <w:numId w:val="1"/>
        </w:numPr>
        <w:jc w:val="both"/>
        <w:rPr>
          <w:rFonts w:ascii="Calibri" w:hAnsi="Calibri"/>
          <w:sz w:val="22"/>
          <w:szCs w:val="22"/>
        </w:rPr>
      </w:pPr>
      <w:r w:rsidRPr="00D02275">
        <w:rPr>
          <w:rFonts w:ascii="Calibri" w:hAnsi="Calibri"/>
          <w:sz w:val="22"/>
          <w:szCs w:val="22"/>
        </w:rPr>
        <w:t>A NGO with the knowledge, expertise and networks to build capability for Pacific families will be selected as one of three commissioning entities under the new model.</w:t>
      </w:r>
      <w:r>
        <w:rPr>
          <w:rFonts w:ascii="Calibri" w:hAnsi="Calibri"/>
          <w:sz w:val="22"/>
          <w:szCs w:val="22"/>
        </w:rPr>
        <w:t xml:space="preserve"> </w:t>
      </w:r>
    </w:p>
    <w:p w:rsidR="00311298" w:rsidRPr="00A03AC6" w:rsidRDefault="00311298" w:rsidP="00F70BF8">
      <w:pPr>
        <w:pStyle w:val="ListParagraph"/>
        <w:jc w:val="both"/>
        <w:rPr>
          <w:rFonts w:ascii="Calibri" w:hAnsi="Calibri"/>
          <w:sz w:val="22"/>
          <w:szCs w:val="22"/>
        </w:rPr>
      </w:pPr>
    </w:p>
    <w:p w:rsidR="00311298" w:rsidRPr="00D02275" w:rsidRDefault="00311298" w:rsidP="00F70BF8">
      <w:pPr>
        <w:pStyle w:val="ListParagraph"/>
        <w:numPr>
          <w:ilvl w:val="0"/>
          <w:numId w:val="1"/>
        </w:numPr>
        <w:jc w:val="both"/>
        <w:rPr>
          <w:rFonts w:ascii="Calibri" w:hAnsi="Calibri"/>
          <w:sz w:val="22"/>
          <w:szCs w:val="22"/>
        </w:rPr>
      </w:pPr>
      <w:r w:rsidRPr="00D02275">
        <w:rPr>
          <w:rFonts w:ascii="Calibri" w:hAnsi="Calibri"/>
          <w:sz w:val="22"/>
          <w:szCs w:val="22"/>
        </w:rPr>
        <w:t>It is expected that the establishment of this commissioning agency will increase opportunities for participation by Pacific providers in the Whānau Ora approach.</w:t>
      </w:r>
    </w:p>
    <w:p w:rsidR="00311298" w:rsidRPr="001D092C" w:rsidRDefault="00311298" w:rsidP="00F70BF8">
      <w:pPr>
        <w:pStyle w:val="ListParagraph"/>
        <w:jc w:val="both"/>
        <w:rPr>
          <w:rFonts w:ascii="Calibri" w:hAnsi="Calibri"/>
          <w:sz w:val="22"/>
          <w:szCs w:val="22"/>
        </w:rPr>
      </w:pPr>
    </w:p>
    <w:p w:rsidR="00311298" w:rsidRDefault="00311298" w:rsidP="00F70BF8">
      <w:pPr>
        <w:pStyle w:val="ListParagraph"/>
        <w:numPr>
          <w:ilvl w:val="0"/>
          <w:numId w:val="1"/>
        </w:numPr>
        <w:jc w:val="both"/>
        <w:rPr>
          <w:rFonts w:ascii="Calibri" w:hAnsi="Calibri"/>
          <w:sz w:val="22"/>
          <w:szCs w:val="22"/>
        </w:rPr>
      </w:pPr>
      <w:r w:rsidRPr="00D02275">
        <w:rPr>
          <w:rFonts w:ascii="Calibri" w:hAnsi="Calibri"/>
          <w:sz w:val="22"/>
          <w:szCs w:val="22"/>
        </w:rPr>
        <w:t>The Ministry of Pacific Island Affa</w:t>
      </w:r>
      <w:r>
        <w:rPr>
          <w:rFonts w:ascii="Calibri" w:hAnsi="Calibri"/>
          <w:sz w:val="22"/>
          <w:szCs w:val="22"/>
        </w:rPr>
        <w:t xml:space="preserve">irs will play a pivotal role </w:t>
      </w:r>
      <w:r w:rsidRPr="008E5870">
        <w:rPr>
          <w:rFonts w:asciiTheme="minorHAnsi" w:hAnsiTheme="minorHAnsi"/>
          <w:sz w:val="22"/>
          <w:szCs w:val="22"/>
        </w:rPr>
        <w:t>in establish</w:t>
      </w:r>
      <w:r>
        <w:rPr>
          <w:rFonts w:asciiTheme="minorHAnsi" w:hAnsiTheme="minorHAnsi"/>
          <w:sz w:val="22"/>
          <w:szCs w:val="22"/>
        </w:rPr>
        <w:t xml:space="preserve">ing the frameworks to guide the </w:t>
      </w:r>
      <w:r w:rsidRPr="008E5870">
        <w:rPr>
          <w:rFonts w:asciiTheme="minorHAnsi" w:hAnsiTheme="minorHAnsi"/>
          <w:sz w:val="22"/>
          <w:szCs w:val="22"/>
        </w:rPr>
        <w:t>Pacific NGO procurement and contracting stages</w:t>
      </w:r>
      <w:r>
        <w:rPr>
          <w:rFonts w:asciiTheme="minorHAnsi" w:hAnsiTheme="minorHAnsi"/>
          <w:sz w:val="22"/>
          <w:szCs w:val="22"/>
        </w:rPr>
        <w:t xml:space="preserve"> as well as</w:t>
      </w:r>
      <w:r>
        <w:rPr>
          <w:rFonts w:ascii="Calibri" w:hAnsi="Calibri"/>
          <w:sz w:val="22"/>
          <w:szCs w:val="22"/>
        </w:rPr>
        <w:t xml:space="preserve"> supporting </w:t>
      </w:r>
      <w:r w:rsidRPr="00D02275">
        <w:rPr>
          <w:rFonts w:ascii="Calibri" w:hAnsi="Calibri"/>
          <w:sz w:val="22"/>
          <w:szCs w:val="22"/>
        </w:rPr>
        <w:t>community engagements</w:t>
      </w:r>
      <w:r>
        <w:rPr>
          <w:rFonts w:ascii="Calibri" w:hAnsi="Calibri"/>
          <w:sz w:val="22"/>
          <w:szCs w:val="22"/>
        </w:rPr>
        <w:t>.</w:t>
      </w:r>
    </w:p>
    <w:p w:rsidR="00311298" w:rsidRPr="00CA44FD" w:rsidRDefault="00311298" w:rsidP="00F70BF8">
      <w:pPr>
        <w:pStyle w:val="ListParagraph"/>
        <w:jc w:val="both"/>
        <w:rPr>
          <w:rFonts w:ascii="Calibri" w:hAnsi="Calibri"/>
          <w:sz w:val="22"/>
          <w:szCs w:val="22"/>
        </w:rPr>
      </w:pPr>
    </w:p>
    <w:p w:rsidR="00311298" w:rsidRPr="002F65D6" w:rsidRDefault="00311298" w:rsidP="00F70BF8">
      <w:pPr>
        <w:pStyle w:val="ListParagraph"/>
        <w:numPr>
          <w:ilvl w:val="0"/>
          <w:numId w:val="1"/>
        </w:numPr>
        <w:jc w:val="both"/>
        <w:rPr>
          <w:rFonts w:ascii="Calibri" w:hAnsi="Calibri"/>
          <w:sz w:val="22"/>
          <w:szCs w:val="22"/>
        </w:rPr>
      </w:pPr>
      <w:r w:rsidRPr="002F65D6">
        <w:rPr>
          <w:rFonts w:ascii="Calibri" w:hAnsi="Calibri"/>
          <w:sz w:val="22"/>
          <w:szCs w:val="22"/>
        </w:rPr>
        <w:t>Further input will be required from Pacific stakeholders to develop a Pacific-</w:t>
      </w:r>
      <w:r>
        <w:rPr>
          <w:rFonts w:ascii="Calibri" w:hAnsi="Calibri"/>
          <w:sz w:val="22"/>
          <w:szCs w:val="22"/>
        </w:rPr>
        <w:t>focus</w:t>
      </w:r>
      <w:r w:rsidRPr="002F65D6">
        <w:rPr>
          <w:rFonts w:ascii="Calibri" w:hAnsi="Calibri"/>
          <w:sz w:val="22"/>
          <w:szCs w:val="22"/>
        </w:rPr>
        <w:t xml:space="preserve">ed Whānau Ora outcomes framework. </w:t>
      </w:r>
    </w:p>
    <w:p w:rsidR="00311298" w:rsidRDefault="00311298" w:rsidP="00F70BF8">
      <w:pPr>
        <w:jc w:val="both"/>
        <w:rPr>
          <w:rFonts w:ascii="Calibri" w:hAnsi="Calibri"/>
          <w:sz w:val="16"/>
          <w:szCs w:val="16"/>
        </w:rPr>
      </w:pPr>
    </w:p>
    <w:p w:rsidR="00311298" w:rsidRPr="00F70BF8" w:rsidRDefault="00F70BF8" w:rsidP="00F70BF8">
      <w:pPr>
        <w:jc w:val="both"/>
        <w:rPr>
          <w:rFonts w:ascii="Calibri" w:hAnsi="Calibri"/>
          <w:sz w:val="16"/>
          <w:szCs w:val="16"/>
        </w:rPr>
      </w:pPr>
      <w:r>
        <w:rPr>
          <w:rFonts w:ascii="Calibri" w:hAnsi="Calibri" w:cs="Arial"/>
          <w:b/>
          <w:noProof/>
          <w:sz w:val="28"/>
          <w:szCs w:val="28"/>
          <w:lang w:eastAsia="en-NZ"/>
        </w:rPr>
        <w:t xml:space="preserve">Results: </w:t>
      </w:r>
      <w:r w:rsidR="00311298" w:rsidRPr="00F70BF8">
        <w:rPr>
          <w:rFonts w:ascii="Calibri" w:hAnsi="Calibri" w:cs="Arial"/>
          <w:b/>
          <w:sz w:val="28"/>
          <w:szCs w:val="28"/>
        </w:rPr>
        <w:t xml:space="preserve">September 2012 – March 2013 </w:t>
      </w:r>
    </w:p>
    <w:p w:rsidR="00311298" w:rsidRDefault="00F82028" w:rsidP="00F70BF8">
      <w:pPr>
        <w:pStyle w:val="NoSpacing"/>
        <w:jc w:val="both"/>
        <w:rPr>
          <w:rFonts w:asciiTheme="minorHAnsi" w:eastAsia="Arial Unicode MS" w:hAnsiTheme="minorHAnsi" w:cs="Arial Unicode MS"/>
          <w:b/>
        </w:rPr>
      </w:pPr>
      <w:r>
        <w:rPr>
          <w:rFonts w:asciiTheme="minorHAnsi" w:eastAsia="Arial Unicode MS" w:hAnsiTheme="minorHAnsi" w:cs="Arial Unicode MS"/>
          <w:b/>
        </w:rPr>
        <w:pict>
          <v:rect id="_x0000_i1039" style="width:0;height:1.5pt" o:hralign="center" o:hrstd="t" o:hr="t" fillcolor="#aca899" stroked="f"/>
        </w:pict>
      </w:r>
    </w:p>
    <w:p w:rsidR="00311298" w:rsidRPr="00F70BF8" w:rsidRDefault="00311298" w:rsidP="00F70BF8">
      <w:pPr>
        <w:autoSpaceDE w:val="0"/>
        <w:autoSpaceDN w:val="0"/>
        <w:adjustRightInd w:val="0"/>
        <w:jc w:val="both"/>
        <w:rPr>
          <w:rFonts w:ascii="Calibri" w:hAnsi="Calibri"/>
          <w:sz w:val="16"/>
          <w:szCs w:val="16"/>
        </w:rPr>
      </w:pPr>
    </w:p>
    <w:p w:rsidR="00311298" w:rsidRDefault="00311298" w:rsidP="00F70BF8">
      <w:pPr>
        <w:autoSpaceDE w:val="0"/>
        <w:autoSpaceDN w:val="0"/>
        <w:adjustRightInd w:val="0"/>
        <w:jc w:val="both"/>
        <w:rPr>
          <w:rFonts w:ascii="Calibri" w:hAnsi="Calibri"/>
          <w:sz w:val="22"/>
          <w:szCs w:val="22"/>
        </w:rPr>
      </w:pPr>
      <w:r w:rsidRPr="00B34F9C">
        <w:rPr>
          <w:rFonts w:ascii="Calibri" w:hAnsi="Calibri"/>
          <w:sz w:val="22"/>
          <w:szCs w:val="22"/>
        </w:rPr>
        <w:t>This snapshot of Whānau Ora results comes from reporting data subm</w:t>
      </w:r>
      <w:r>
        <w:rPr>
          <w:rFonts w:ascii="Calibri" w:hAnsi="Calibri"/>
          <w:sz w:val="22"/>
          <w:szCs w:val="22"/>
        </w:rPr>
        <w:t>itted by 15 collectives over a</w:t>
      </w:r>
      <w:r w:rsidRPr="00B34F9C">
        <w:rPr>
          <w:rFonts w:ascii="Calibri" w:hAnsi="Calibri"/>
          <w:sz w:val="22"/>
          <w:szCs w:val="22"/>
        </w:rPr>
        <w:t xml:space="preserve"> six-month period ending 31 March 2013. In addition to collectives’ required reporting against their contracts, Te Puni Kōkiri is rolling out reporting on whānau results. </w:t>
      </w:r>
    </w:p>
    <w:p w:rsidR="00311298" w:rsidRDefault="00311298" w:rsidP="00F70BF8">
      <w:pPr>
        <w:autoSpaceDE w:val="0"/>
        <w:autoSpaceDN w:val="0"/>
        <w:adjustRightInd w:val="0"/>
        <w:jc w:val="both"/>
        <w:rPr>
          <w:rFonts w:ascii="Calibri" w:hAnsi="Calibri"/>
          <w:sz w:val="22"/>
          <w:szCs w:val="22"/>
        </w:rPr>
      </w:pPr>
    </w:p>
    <w:p w:rsidR="00311298" w:rsidRPr="00B34F9C" w:rsidRDefault="00311298" w:rsidP="00F70BF8">
      <w:pPr>
        <w:autoSpaceDE w:val="0"/>
        <w:autoSpaceDN w:val="0"/>
        <w:adjustRightInd w:val="0"/>
        <w:jc w:val="both"/>
        <w:rPr>
          <w:rFonts w:ascii="Calibri" w:hAnsi="Calibri"/>
          <w:sz w:val="22"/>
          <w:szCs w:val="22"/>
        </w:rPr>
      </w:pPr>
      <w:r w:rsidRPr="00B34F9C">
        <w:rPr>
          <w:rFonts w:ascii="Calibri" w:hAnsi="Calibri"/>
          <w:sz w:val="22"/>
          <w:szCs w:val="22"/>
        </w:rPr>
        <w:t>Measures of whānau results were trialled with seven collectives from April to August 2012.</w:t>
      </w:r>
      <w:r>
        <w:rPr>
          <w:rFonts w:ascii="Calibri" w:hAnsi="Calibri"/>
          <w:sz w:val="22"/>
          <w:szCs w:val="22"/>
        </w:rPr>
        <w:t xml:space="preserve"> </w:t>
      </w:r>
      <w:r w:rsidRPr="00B34F9C">
        <w:rPr>
          <w:rFonts w:ascii="Calibri" w:hAnsi="Calibri"/>
          <w:sz w:val="22"/>
          <w:szCs w:val="22"/>
        </w:rPr>
        <w:t>These measures are now collected from 15 collectives with investment packages, and will be progressively collected by the remaining collectives who have investment packages.</w:t>
      </w:r>
    </w:p>
    <w:p w:rsidR="00311298" w:rsidRPr="00B34F9C" w:rsidRDefault="00311298" w:rsidP="00F70BF8">
      <w:pPr>
        <w:pStyle w:val="ListParagraph"/>
        <w:autoSpaceDE w:val="0"/>
        <w:autoSpaceDN w:val="0"/>
        <w:adjustRightInd w:val="0"/>
        <w:ind w:left="360"/>
        <w:jc w:val="both"/>
        <w:rPr>
          <w:rFonts w:ascii="Calibri" w:hAnsi="Calibri"/>
          <w:sz w:val="22"/>
          <w:szCs w:val="22"/>
        </w:rPr>
      </w:pPr>
    </w:p>
    <w:p w:rsidR="00311298" w:rsidRPr="00B34F9C" w:rsidRDefault="00311298" w:rsidP="00F70BF8">
      <w:pPr>
        <w:autoSpaceDE w:val="0"/>
        <w:autoSpaceDN w:val="0"/>
        <w:adjustRightInd w:val="0"/>
        <w:ind w:left="720"/>
        <w:jc w:val="both"/>
        <w:rPr>
          <w:rFonts w:ascii="Calibri" w:hAnsi="Calibri"/>
          <w:i/>
          <w:sz w:val="22"/>
          <w:szCs w:val="22"/>
        </w:rPr>
      </w:pPr>
      <w:r w:rsidRPr="00B34F9C">
        <w:rPr>
          <w:rFonts w:ascii="Calibri" w:hAnsi="Calibri"/>
          <w:i/>
          <w:sz w:val="22"/>
          <w:szCs w:val="22"/>
        </w:rPr>
        <w:t>Investment in provider capability covers a range of different areas. Two notable aspects of capability building have helped services to become more whānau-centred:</w:t>
      </w:r>
    </w:p>
    <w:p w:rsidR="00311298" w:rsidRPr="00B34F9C" w:rsidRDefault="00311298" w:rsidP="00F70BF8">
      <w:pPr>
        <w:pStyle w:val="ListParagraph"/>
        <w:autoSpaceDE w:val="0"/>
        <w:autoSpaceDN w:val="0"/>
        <w:adjustRightInd w:val="0"/>
        <w:ind w:left="360"/>
        <w:jc w:val="both"/>
        <w:rPr>
          <w:rFonts w:ascii="Calibri" w:hAnsi="Calibri"/>
          <w:sz w:val="22"/>
          <w:szCs w:val="22"/>
        </w:rPr>
      </w:pPr>
    </w:p>
    <w:p w:rsidR="00311298" w:rsidRPr="00B34F9C" w:rsidRDefault="00311298" w:rsidP="00F70BF8">
      <w:pPr>
        <w:pStyle w:val="ListParagraph"/>
        <w:numPr>
          <w:ilvl w:val="0"/>
          <w:numId w:val="13"/>
        </w:numPr>
        <w:autoSpaceDE w:val="0"/>
        <w:autoSpaceDN w:val="0"/>
        <w:adjustRightInd w:val="0"/>
        <w:jc w:val="both"/>
        <w:rPr>
          <w:rFonts w:ascii="Calibri" w:hAnsi="Calibri"/>
          <w:b/>
          <w:sz w:val="22"/>
          <w:szCs w:val="22"/>
        </w:rPr>
      </w:pPr>
      <w:r w:rsidRPr="00B34F9C">
        <w:rPr>
          <w:rFonts w:ascii="Calibri" w:hAnsi="Calibri"/>
          <w:b/>
          <w:sz w:val="22"/>
          <w:szCs w:val="22"/>
        </w:rPr>
        <w:t>Navigational support and whānau planning</w:t>
      </w:r>
    </w:p>
    <w:p w:rsidR="00F70BF8" w:rsidRDefault="00F70BF8" w:rsidP="00F70BF8">
      <w:pPr>
        <w:pStyle w:val="ListParagraph"/>
        <w:autoSpaceDE w:val="0"/>
        <w:autoSpaceDN w:val="0"/>
        <w:adjustRightInd w:val="0"/>
        <w:ind w:left="0"/>
        <w:jc w:val="both"/>
        <w:rPr>
          <w:rFonts w:ascii="Calibri" w:hAnsi="Calibri"/>
          <w:sz w:val="22"/>
          <w:szCs w:val="22"/>
        </w:rPr>
      </w:pPr>
    </w:p>
    <w:p w:rsidR="00311298" w:rsidRDefault="00311298" w:rsidP="00F70BF8">
      <w:pPr>
        <w:pStyle w:val="ListParagraph"/>
        <w:autoSpaceDE w:val="0"/>
        <w:autoSpaceDN w:val="0"/>
        <w:adjustRightInd w:val="0"/>
        <w:ind w:left="0"/>
        <w:jc w:val="both"/>
        <w:rPr>
          <w:rFonts w:ascii="Calibri" w:hAnsi="Calibri"/>
          <w:sz w:val="22"/>
          <w:szCs w:val="22"/>
        </w:rPr>
      </w:pPr>
      <w:r w:rsidRPr="00B34F9C">
        <w:rPr>
          <w:rFonts w:ascii="Calibri" w:hAnsi="Calibri"/>
          <w:sz w:val="22"/>
          <w:szCs w:val="22"/>
        </w:rPr>
        <w:t xml:space="preserve">Whānau Ora ‘navigators’ are kaimahi (workers) that take a lead role in establishing trust with </w:t>
      </w:r>
      <w:r>
        <w:rPr>
          <w:rFonts w:ascii="Calibri" w:hAnsi="Calibri"/>
          <w:sz w:val="22"/>
          <w:szCs w:val="22"/>
        </w:rPr>
        <w:t>families</w:t>
      </w:r>
      <w:r w:rsidRPr="00B34F9C">
        <w:rPr>
          <w:rFonts w:ascii="Calibri" w:hAnsi="Calibri"/>
          <w:sz w:val="22"/>
          <w:szCs w:val="22"/>
        </w:rPr>
        <w:t xml:space="preserve">, facilitating whānau to meet their needs and achieve aspirations, coordinating support to whānau, and </w:t>
      </w:r>
      <w:r w:rsidRPr="00B34F9C">
        <w:rPr>
          <w:rFonts w:ascii="Calibri" w:hAnsi="Calibri"/>
          <w:sz w:val="22"/>
          <w:szCs w:val="22"/>
        </w:rPr>
        <w:lastRenderedPageBreak/>
        <w:t>helping whānau build their capacity. Whānau planning has been a key part of the navigational role. The role has required collaboration with a range of organisations and services for whānau benefit.</w:t>
      </w:r>
    </w:p>
    <w:p w:rsidR="00311298" w:rsidRPr="00B34F9C" w:rsidRDefault="00311298" w:rsidP="00F70BF8">
      <w:pPr>
        <w:pStyle w:val="ListParagraph"/>
        <w:autoSpaceDE w:val="0"/>
        <w:autoSpaceDN w:val="0"/>
        <w:adjustRightInd w:val="0"/>
        <w:ind w:left="0"/>
        <w:jc w:val="both"/>
        <w:rPr>
          <w:rFonts w:ascii="Calibri" w:hAnsi="Calibri"/>
          <w:sz w:val="22"/>
          <w:szCs w:val="22"/>
        </w:rPr>
      </w:pPr>
    </w:p>
    <w:p w:rsidR="00311298" w:rsidRPr="00B34F9C" w:rsidRDefault="00311298" w:rsidP="00F70BF8">
      <w:pPr>
        <w:pStyle w:val="ListParagraph"/>
        <w:numPr>
          <w:ilvl w:val="0"/>
          <w:numId w:val="13"/>
        </w:numPr>
        <w:autoSpaceDE w:val="0"/>
        <w:autoSpaceDN w:val="0"/>
        <w:adjustRightInd w:val="0"/>
        <w:jc w:val="both"/>
        <w:rPr>
          <w:rFonts w:ascii="Calibri" w:hAnsi="Calibri"/>
          <w:b/>
          <w:sz w:val="22"/>
          <w:szCs w:val="22"/>
        </w:rPr>
      </w:pPr>
      <w:r w:rsidRPr="00B34F9C">
        <w:rPr>
          <w:rFonts w:ascii="Calibri" w:hAnsi="Calibri"/>
          <w:b/>
          <w:sz w:val="22"/>
          <w:szCs w:val="22"/>
        </w:rPr>
        <w:t>Workforce development</w:t>
      </w:r>
    </w:p>
    <w:p w:rsidR="00F70BF8" w:rsidRDefault="00F70BF8" w:rsidP="00F70BF8">
      <w:pPr>
        <w:pStyle w:val="ListParagraph"/>
        <w:autoSpaceDE w:val="0"/>
        <w:autoSpaceDN w:val="0"/>
        <w:adjustRightInd w:val="0"/>
        <w:ind w:left="0"/>
        <w:jc w:val="both"/>
        <w:rPr>
          <w:rFonts w:ascii="Calibri" w:hAnsi="Calibri"/>
          <w:sz w:val="22"/>
          <w:szCs w:val="22"/>
        </w:rPr>
      </w:pPr>
    </w:p>
    <w:p w:rsidR="00311298" w:rsidRPr="00B34F9C" w:rsidRDefault="00311298" w:rsidP="00F70BF8">
      <w:pPr>
        <w:pStyle w:val="ListParagraph"/>
        <w:autoSpaceDE w:val="0"/>
        <w:autoSpaceDN w:val="0"/>
        <w:adjustRightInd w:val="0"/>
        <w:ind w:left="0"/>
        <w:jc w:val="both"/>
        <w:rPr>
          <w:rFonts w:ascii="Calibri" w:hAnsi="Calibri"/>
          <w:sz w:val="22"/>
          <w:szCs w:val="22"/>
        </w:rPr>
      </w:pPr>
      <w:r w:rsidRPr="00B34F9C">
        <w:rPr>
          <w:rFonts w:ascii="Calibri" w:hAnsi="Calibri"/>
          <w:sz w:val="22"/>
          <w:szCs w:val="22"/>
        </w:rPr>
        <w:t xml:space="preserve">Building workforce capability across collectives has been a major part of Whānau Ora investment. Much of the workforce development has focused on cultural competency – both in general and around specific areas </w:t>
      </w:r>
      <w:r>
        <w:rPr>
          <w:rFonts w:ascii="Calibri" w:hAnsi="Calibri"/>
          <w:sz w:val="22"/>
          <w:szCs w:val="22"/>
        </w:rPr>
        <w:t>such as family violence</w:t>
      </w:r>
      <w:r w:rsidRPr="00B34F9C">
        <w:rPr>
          <w:rFonts w:ascii="Calibri" w:hAnsi="Calibri"/>
          <w:sz w:val="22"/>
          <w:szCs w:val="22"/>
        </w:rPr>
        <w:t xml:space="preserve">. It has also included up-skilling in areas of health, education or whānau planning so kaimahi are more able to support whānau aspirations. </w:t>
      </w:r>
    </w:p>
    <w:p w:rsidR="00311298" w:rsidRDefault="00311298" w:rsidP="00F70BF8">
      <w:pPr>
        <w:autoSpaceDE w:val="0"/>
        <w:autoSpaceDN w:val="0"/>
        <w:adjustRightInd w:val="0"/>
        <w:jc w:val="both"/>
        <w:rPr>
          <w:rFonts w:ascii="Calibri" w:hAnsi="Calibri"/>
          <w:sz w:val="22"/>
          <w:szCs w:val="22"/>
        </w:rPr>
      </w:pPr>
    </w:p>
    <w:p w:rsidR="00311298" w:rsidRPr="00B34F9C" w:rsidRDefault="00311298" w:rsidP="00F70BF8">
      <w:pPr>
        <w:autoSpaceDE w:val="0"/>
        <w:autoSpaceDN w:val="0"/>
        <w:adjustRightInd w:val="0"/>
        <w:ind w:left="720"/>
        <w:jc w:val="both"/>
        <w:rPr>
          <w:rFonts w:ascii="Calibri" w:hAnsi="Calibri"/>
          <w:i/>
          <w:sz w:val="22"/>
          <w:szCs w:val="22"/>
        </w:rPr>
      </w:pPr>
      <w:r w:rsidRPr="00B34F9C">
        <w:rPr>
          <w:rFonts w:ascii="Calibri" w:hAnsi="Calibri"/>
          <w:i/>
          <w:sz w:val="22"/>
          <w:szCs w:val="22"/>
        </w:rPr>
        <w:t>Collectives are demonstrating ways that their services are becoming whānau-centred:</w:t>
      </w:r>
    </w:p>
    <w:p w:rsidR="00311298" w:rsidRDefault="00311298" w:rsidP="00F70BF8">
      <w:pPr>
        <w:autoSpaceDE w:val="0"/>
        <w:autoSpaceDN w:val="0"/>
        <w:adjustRightInd w:val="0"/>
        <w:jc w:val="both"/>
        <w:rPr>
          <w:rFonts w:ascii="Calibri" w:hAnsi="Calibri"/>
          <w:sz w:val="22"/>
          <w:szCs w:val="22"/>
        </w:rPr>
      </w:pPr>
    </w:p>
    <w:p w:rsidR="00311298" w:rsidRPr="00B34F9C" w:rsidRDefault="00311298" w:rsidP="00F70BF8">
      <w:pPr>
        <w:pStyle w:val="ListParagraph"/>
        <w:numPr>
          <w:ilvl w:val="0"/>
          <w:numId w:val="13"/>
        </w:numPr>
        <w:autoSpaceDE w:val="0"/>
        <w:autoSpaceDN w:val="0"/>
        <w:adjustRightInd w:val="0"/>
        <w:jc w:val="both"/>
        <w:rPr>
          <w:rFonts w:ascii="Calibri" w:hAnsi="Calibri"/>
          <w:b/>
          <w:sz w:val="22"/>
          <w:szCs w:val="22"/>
        </w:rPr>
      </w:pPr>
      <w:r w:rsidRPr="00B34F9C">
        <w:rPr>
          <w:rFonts w:ascii="Calibri" w:hAnsi="Calibri"/>
          <w:b/>
          <w:sz w:val="22"/>
          <w:szCs w:val="22"/>
        </w:rPr>
        <w:t xml:space="preserve">Shifting practice to focus on the needs of whānau </w:t>
      </w:r>
      <w:r>
        <w:rPr>
          <w:rFonts w:ascii="Calibri" w:hAnsi="Calibri"/>
          <w:b/>
          <w:sz w:val="22"/>
          <w:szCs w:val="22"/>
        </w:rPr>
        <w:t xml:space="preserve">and families </w:t>
      </w:r>
      <w:r w:rsidRPr="00B34F9C">
        <w:rPr>
          <w:rFonts w:ascii="Calibri" w:hAnsi="Calibri"/>
          <w:b/>
          <w:sz w:val="22"/>
          <w:szCs w:val="22"/>
        </w:rPr>
        <w:t>as a whole</w:t>
      </w:r>
    </w:p>
    <w:p w:rsidR="00F70BF8" w:rsidRDefault="00F70BF8" w:rsidP="00F70BF8">
      <w:pPr>
        <w:autoSpaceDE w:val="0"/>
        <w:autoSpaceDN w:val="0"/>
        <w:adjustRightInd w:val="0"/>
        <w:jc w:val="both"/>
        <w:rPr>
          <w:rFonts w:ascii="Calibri" w:hAnsi="Calibri"/>
          <w:sz w:val="22"/>
          <w:szCs w:val="22"/>
        </w:rPr>
      </w:pPr>
    </w:p>
    <w:p w:rsidR="00311298" w:rsidRPr="00B34F9C" w:rsidRDefault="00311298" w:rsidP="00F70BF8">
      <w:pPr>
        <w:autoSpaceDE w:val="0"/>
        <w:autoSpaceDN w:val="0"/>
        <w:adjustRightInd w:val="0"/>
        <w:jc w:val="both"/>
        <w:rPr>
          <w:rFonts w:ascii="Calibri" w:hAnsi="Calibri"/>
          <w:sz w:val="22"/>
          <w:szCs w:val="22"/>
        </w:rPr>
      </w:pPr>
      <w:r w:rsidRPr="00B34F9C">
        <w:rPr>
          <w:rFonts w:ascii="Calibri" w:hAnsi="Calibri"/>
          <w:sz w:val="22"/>
          <w:szCs w:val="22"/>
        </w:rPr>
        <w:t xml:space="preserve">A move away from a conventional perspective of individual needs to a more varied approach determined by whānau </w:t>
      </w:r>
      <w:r>
        <w:rPr>
          <w:rFonts w:ascii="Calibri" w:hAnsi="Calibri"/>
          <w:sz w:val="22"/>
          <w:szCs w:val="22"/>
        </w:rPr>
        <w:t xml:space="preserve">and families </w:t>
      </w:r>
      <w:r w:rsidRPr="00B34F9C">
        <w:rPr>
          <w:rFonts w:ascii="Calibri" w:hAnsi="Calibri"/>
          <w:sz w:val="22"/>
          <w:szCs w:val="22"/>
        </w:rPr>
        <w:t xml:space="preserve">is emerging. </w:t>
      </w:r>
      <w:r>
        <w:rPr>
          <w:rFonts w:ascii="Calibri" w:hAnsi="Calibri"/>
          <w:sz w:val="22"/>
          <w:szCs w:val="22"/>
        </w:rPr>
        <w:t xml:space="preserve">Collectives report that a ‘navigational approach’ has shifted practice for kaimahi. Even for staff that are working to prescriptive and output-focused contracts, they have begun to think beyond the parameters of contracts. </w:t>
      </w:r>
      <w:r w:rsidRPr="00B34F9C">
        <w:rPr>
          <w:rFonts w:ascii="Calibri" w:hAnsi="Calibri"/>
          <w:sz w:val="22"/>
          <w:szCs w:val="22"/>
        </w:rPr>
        <w:t xml:space="preserve">Kaimahi are starting to see that healing is sustainable when supporting the whole whānau. </w:t>
      </w:r>
    </w:p>
    <w:p w:rsidR="00311298" w:rsidRPr="00B34F9C" w:rsidRDefault="00311298" w:rsidP="00F70BF8">
      <w:pPr>
        <w:pStyle w:val="ListParagraph"/>
        <w:autoSpaceDE w:val="0"/>
        <w:autoSpaceDN w:val="0"/>
        <w:adjustRightInd w:val="0"/>
        <w:ind w:left="360"/>
        <w:jc w:val="both"/>
        <w:rPr>
          <w:rFonts w:ascii="Calibri" w:hAnsi="Calibri"/>
          <w:sz w:val="22"/>
          <w:szCs w:val="22"/>
        </w:rPr>
      </w:pPr>
    </w:p>
    <w:p w:rsidR="00311298" w:rsidRDefault="00311298" w:rsidP="00F70BF8">
      <w:pPr>
        <w:pStyle w:val="ListParagraph"/>
        <w:numPr>
          <w:ilvl w:val="0"/>
          <w:numId w:val="13"/>
        </w:numPr>
        <w:autoSpaceDE w:val="0"/>
        <w:autoSpaceDN w:val="0"/>
        <w:adjustRightInd w:val="0"/>
        <w:jc w:val="both"/>
        <w:rPr>
          <w:rFonts w:ascii="Calibri" w:hAnsi="Calibri"/>
          <w:b/>
          <w:sz w:val="22"/>
          <w:szCs w:val="22"/>
        </w:rPr>
      </w:pPr>
      <w:r w:rsidRPr="00B34F9C">
        <w:rPr>
          <w:rFonts w:ascii="Calibri" w:hAnsi="Calibri"/>
          <w:b/>
          <w:sz w:val="22"/>
          <w:szCs w:val="22"/>
        </w:rPr>
        <w:t xml:space="preserve">Initiating innovative programmes or collaborating more to meet whānau </w:t>
      </w:r>
      <w:r>
        <w:rPr>
          <w:rFonts w:ascii="Calibri" w:hAnsi="Calibri"/>
          <w:b/>
          <w:sz w:val="22"/>
          <w:szCs w:val="22"/>
        </w:rPr>
        <w:t xml:space="preserve">and family </w:t>
      </w:r>
      <w:r w:rsidRPr="00B34F9C">
        <w:rPr>
          <w:rFonts w:ascii="Calibri" w:hAnsi="Calibri"/>
          <w:b/>
          <w:sz w:val="22"/>
          <w:szCs w:val="22"/>
        </w:rPr>
        <w:t>aspirations</w:t>
      </w:r>
    </w:p>
    <w:p w:rsidR="00F70BF8" w:rsidRDefault="00F70BF8" w:rsidP="00F70BF8">
      <w:pPr>
        <w:autoSpaceDE w:val="0"/>
        <w:autoSpaceDN w:val="0"/>
        <w:adjustRightInd w:val="0"/>
        <w:jc w:val="both"/>
        <w:rPr>
          <w:rFonts w:ascii="Calibri" w:hAnsi="Calibri"/>
          <w:sz w:val="22"/>
          <w:szCs w:val="22"/>
        </w:rPr>
      </w:pPr>
    </w:p>
    <w:p w:rsidR="00311298" w:rsidRDefault="00311298" w:rsidP="00F70BF8">
      <w:pPr>
        <w:autoSpaceDE w:val="0"/>
        <w:autoSpaceDN w:val="0"/>
        <w:adjustRightInd w:val="0"/>
        <w:jc w:val="both"/>
        <w:rPr>
          <w:rFonts w:ascii="Calibri" w:hAnsi="Calibri"/>
          <w:sz w:val="22"/>
          <w:szCs w:val="22"/>
        </w:rPr>
      </w:pPr>
      <w:r w:rsidRPr="00B34F9C">
        <w:rPr>
          <w:rFonts w:ascii="Calibri" w:hAnsi="Calibri"/>
          <w:sz w:val="22"/>
          <w:szCs w:val="22"/>
        </w:rPr>
        <w:t xml:space="preserve">Collaboration with a range of agencies to improve services and reduce duplication for whānau </w:t>
      </w:r>
      <w:r>
        <w:rPr>
          <w:rFonts w:ascii="Calibri" w:hAnsi="Calibri"/>
          <w:sz w:val="22"/>
          <w:szCs w:val="22"/>
        </w:rPr>
        <w:t xml:space="preserve">and families </w:t>
      </w:r>
      <w:r w:rsidRPr="00B34F9C">
        <w:rPr>
          <w:rFonts w:ascii="Calibri" w:hAnsi="Calibri"/>
          <w:sz w:val="22"/>
          <w:szCs w:val="22"/>
        </w:rPr>
        <w:t xml:space="preserve">is apparent. </w:t>
      </w:r>
      <w:r>
        <w:rPr>
          <w:rFonts w:ascii="Calibri" w:hAnsi="Calibri"/>
          <w:sz w:val="22"/>
          <w:szCs w:val="22"/>
        </w:rPr>
        <w:t xml:space="preserve">The varying services and programmes within collectives are becoming more coordinated. Collectives are also strengthening work with organisations such as Work and Income, Family Start, banks, schools and prisons in order to support a Whānau Ora approach for whānau and families across many settings. Where gaps in services or programmes are apparent, collectives are responding to this – for example, introducing driver licensing and prisoner rehabilitation programmes, or extending boundaries of existing services. </w:t>
      </w:r>
    </w:p>
    <w:p w:rsidR="00311298" w:rsidRPr="00B34F9C" w:rsidRDefault="00311298" w:rsidP="00F70BF8">
      <w:pPr>
        <w:pStyle w:val="ListParagraph"/>
        <w:autoSpaceDE w:val="0"/>
        <w:autoSpaceDN w:val="0"/>
        <w:adjustRightInd w:val="0"/>
        <w:ind w:left="360"/>
        <w:jc w:val="both"/>
        <w:rPr>
          <w:rFonts w:ascii="Calibri" w:hAnsi="Calibri"/>
          <w:sz w:val="22"/>
          <w:szCs w:val="22"/>
        </w:rPr>
      </w:pPr>
    </w:p>
    <w:p w:rsidR="00311298" w:rsidRPr="00B34F9C" w:rsidRDefault="00311298" w:rsidP="00F70BF8">
      <w:pPr>
        <w:pStyle w:val="ListParagraph"/>
        <w:numPr>
          <w:ilvl w:val="0"/>
          <w:numId w:val="13"/>
        </w:numPr>
        <w:autoSpaceDE w:val="0"/>
        <w:autoSpaceDN w:val="0"/>
        <w:adjustRightInd w:val="0"/>
        <w:jc w:val="both"/>
        <w:rPr>
          <w:rFonts w:ascii="Calibri" w:hAnsi="Calibri"/>
          <w:b/>
          <w:sz w:val="22"/>
          <w:szCs w:val="22"/>
        </w:rPr>
      </w:pPr>
      <w:r w:rsidRPr="00B34F9C">
        <w:rPr>
          <w:rFonts w:ascii="Calibri" w:hAnsi="Calibri"/>
          <w:b/>
          <w:sz w:val="22"/>
          <w:szCs w:val="22"/>
        </w:rPr>
        <w:t>Tailoring programmes/approaches to improve access to services</w:t>
      </w:r>
    </w:p>
    <w:p w:rsidR="00F70BF8" w:rsidRDefault="00F70BF8" w:rsidP="00F70BF8">
      <w:pPr>
        <w:pStyle w:val="ListParagraph"/>
        <w:autoSpaceDE w:val="0"/>
        <w:autoSpaceDN w:val="0"/>
        <w:adjustRightInd w:val="0"/>
        <w:ind w:left="0"/>
        <w:jc w:val="both"/>
        <w:rPr>
          <w:rFonts w:ascii="Calibri" w:hAnsi="Calibri"/>
          <w:sz w:val="22"/>
          <w:szCs w:val="22"/>
        </w:rPr>
      </w:pPr>
    </w:p>
    <w:p w:rsidR="00311298" w:rsidRDefault="00311298" w:rsidP="00F70BF8">
      <w:pPr>
        <w:pStyle w:val="ListParagraph"/>
        <w:autoSpaceDE w:val="0"/>
        <w:autoSpaceDN w:val="0"/>
        <w:adjustRightInd w:val="0"/>
        <w:ind w:left="0"/>
        <w:jc w:val="both"/>
        <w:rPr>
          <w:rFonts w:ascii="Calibri" w:hAnsi="Calibri"/>
          <w:sz w:val="22"/>
          <w:szCs w:val="22"/>
        </w:rPr>
      </w:pPr>
      <w:r w:rsidRPr="00B34F9C">
        <w:rPr>
          <w:rFonts w:ascii="Calibri" w:hAnsi="Calibri"/>
          <w:sz w:val="22"/>
          <w:szCs w:val="22"/>
        </w:rPr>
        <w:t>Greater alignment between services and whānau needs to improve access is occurring through:</w:t>
      </w:r>
    </w:p>
    <w:p w:rsidR="00F70BF8" w:rsidRDefault="00F70BF8" w:rsidP="00F70BF8">
      <w:pPr>
        <w:pStyle w:val="ListParagraph"/>
        <w:autoSpaceDE w:val="0"/>
        <w:autoSpaceDN w:val="0"/>
        <w:adjustRightInd w:val="0"/>
        <w:ind w:left="0"/>
        <w:jc w:val="both"/>
        <w:rPr>
          <w:rFonts w:ascii="Calibri" w:hAnsi="Calibri"/>
          <w:sz w:val="22"/>
          <w:szCs w:val="22"/>
        </w:rPr>
      </w:pPr>
    </w:p>
    <w:p w:rsidR="00311298" w:rsidRPr="00B34F9C" w:rsidRDefault="00311298" w:rsidP="00F70BF8">
      <w:pPr>
        <w:pStyle w:val="ListParagraph"/>
        <w:numPr>
          <w:ilvl w:val="0"/>
          <w:numId w:val="14"/>
        </w:numPr>
        <w:autoSpaceDE w:val="0"/>
        <w:autoSpaceDN w:val="0"/>
        <w:adjustRightInd w:val="0"/>
        <w:jc w:val="both"/>
        <w:rPr>
          <w:rFonts w:ascii="Calibri" w:hAnsi="Calibri"/>
          <w:sz w:val="22"/>
          <w:szCs w:val="22"/>
        </w:rPr>
      </w:pPr>
      <w:r w:rsidRPr="00B34F9C">
        <w:rPr>
          <w:rFonts w:ascii="Calibri" w:hAnsi="Calibri"/>
          <w:sz w:val="22"/>
          <w:szCs w:val="22"/>
        </w:rPr>
        <w:t xml:space="preserve">locating services in remote areas and where </w:t>
      </w:r>
      <w:r>
        <w:rPr>
          <w:rFonts w:ascii="Calibri" w:hAnsi="Calibri"/>
          <w:sz w:val="22"/>
          <w:szCs w:val="22"/>
        </w:rPr>
        <w:t>families</w:t>
      </w:r>
      <w:r w:rsidRPr="00B34F9C">
        <w:rPr>
          <w:rFonts w:ascii="Calibri" w:hAnsi="Calibri"/>
          <w:sz w:val="22"/>
          <w:szCs w:val="22"/>
        </w:rPr>
        <w:t xml:space="preserve"> are likely to meet such as homes and marae</w:t>
      </w:r>
    </w:p>
    <w:p w:rsidR="00311298" w:rsidRPr="00B34F9C" w:rsidRDefault="00311298" w:rsidP="00F70BF8">
      <w:pPr>
        <w:pStyle w:val="ListParagraph"/>
        <w:numPr>
          <w:ilvl w:val="0"/>
          <w:numId w:val="14"/>
        </w:numPr>
        <w:autoSpaceDE w:val="0"/>
        <w:autoSpaceDN w:val="0"/>
        <w:adjustRightInd w:val="0"/>
        <w:jc w:val="both"/>
        <w:rPr>
          <w:rFonts w:ascii="Calibri" w:hAnsi="Calibri"/>
          <w:sz w:val="22"/>
          <w:szCs w:val="22"/>
        </w:rPr>
      </w:pPr>
      <w:r w:rsidRPr="00B34F9C">
        <w:rPr>
          <w:rFonts w:ascii="Calibri" w:hAnsi="Calibri"/>
          <w:sz w:val="22"/>
          <w:szCs w:val="22"/>
        </w:rPr>
        <w:t>providing transport to those whānau who need it</w:t>
      </w:r>
    </w:p>
    <w:p w:rsidR="00311298" w:rsidRPr="00B34F9C" w:rsidRDefault="00311298" w:rsidP="00F70BF8">
      <w:pPr>
        <w:pStyle w:val="ListParagraph"/>
        <w:numPr>
          <w:ilvl w:val="0"/>
          <w:numId w:val="14"/>
        </w:numPr>
        <w:autoSpaceDE w:val="0"/>
        <w:autoSpaceDN w:val="0"/>
        <w:adjustRightInd w:val="0"/>
        <w:jc w:val="both"/>
        <w:rPr>
          <w:rFonts w:ascii="Calibri" w:hAnsi="Calibri"/>
          <w:sz w:val="22"/>
          <w:szCs w:val="22"/>
        </w:rPr>
      </w:pPr>
      <w:r w:rsidRPr="00B34F9C">
        <w:rPr>
          <w:rFonts w:ascii="Calibri" w:hAnsi="Calibri"/>
          <w:sz w:val="22"/>
          <w:szCs w:val="22"/>
        </w:rPr>
        <w:t xml:space="preserve">bringing other agencies or providers into remote areas </w:t>
      </w:r>
    </w:p>
    <w:p w:rsidR="00311298" w:rsidRPr="00B34F9C" w:rsidRDefault="00311298" w:rsidP="00F70BF8">
      <w:pPr>
        <w:pStyle w:val="ListParagraph"/>
        <w:numPr>
          <w:ilvl w:val="0"/>
          <w:numId w:val="14"/>
        </w:numPr>
        <w:autoSpaceDE w:val="0"/>
        <w:autoSpaceDN w:val="0"/>
        <w:adjustRightInd w:val="0"/>
        <w:jc w:val="both"/>
        <w:rPr>
          <w:rFonts w:ascii="Calibri" w:hAnsi="Calibri"/>
          <w:sz w:val="22"/>
          <w:szCs w:val="22"/>
        </w:rPr>
      </w:pPr>
      <w:r w:rsidRPr="00B34F9C">
        <w:rPr>
          <w:rFonts w:ascii="Calibri" w:hAnsi="Calibri"/>
          <w:sz w:val="22"/>
          <w:szCs w:val="22"/>
        </w:rPr>
        <w:t>adapting working hours to suit whānau needs</w:t>
      </w:r>
    </w:p>
    <w:p w:rsidR="00311298" w:rsidRPr="00B34F9C" w:rsidRDefault="00311298" w:rsidP="00F70BF8">
      <w:pPr>
        <w:pStyle w:val="ListParagraph"/>
        <w:numPr>
          <w:ilvl w:val="0"/>
          <w:numId w:val="14"/>
        </w:numPr>
        <w:autoSpaceDE w:val="0"/>
        <w:autoSpaceDN w:val="0"/>
        <w:adjustRightInd w:val="0"/>
        <w:jc w:val="both"/>
        <w:rPr>
          <w:rFonts w:ascii="Calibri" w:hAnsi="Calibri"/>
          <w:sz w:val="22"/>
          <w:szCs w:val="22"/>
        </w:rPr>
      </w:pPr>
      <w:proofErr w:type="gramStart"/>
      <w:r w:rsidRPr="00B34F9C">
        <w:rPr>
          <w:rFonts w:ascii="Calibri" w:hAnsi="Calibri"/>
          <w:sz w:val="22"/>
          <w:szCs w:val="22"/>
        </w:rPr>
        <w:t>offering</w:t>
      </w:r>
      <w:proofErr w:type="gramEnd"/>
      <w:r w:rsidRPr="00B34F9C">
        <w:rPr>
          <w:rFonts w:ascii="Calibri" w:hAnsi="Calibri"/>
          <w:sz w:val="22"/>
          <w:szCs w:val="22"/>
        </w:rPr>
        <w:t xml:space="preserve"> many ways for </w:t>
      </w:r>
      <w:r>
        <w:rPr>
          <w:rFonts w:ascii="Calibri" w:hAnsi="Calibri"/>
          <w:sz w:val="22"/>
          <w:szCs w:val="22"/>
        </w:rPr>
        <w:t xml:space="preserve">families to communicate and engage such as </w:t>
      </w:r>
      <w:r w:rsidRPr="00B34F9C">
        <w:rPr>
          <w:rFonts w:ascii="Calibri" w:hAnsi="Calibri"/>
          <w:sz w:val="22"/>
          <w:szCs w:val="22"/>
        </w:rPr>
        <w:t>website, kanohi ki te kanohi</w:t>
      </w:r>
      <w:r>
        <w:rPr>
          <w:rFonts w:ascii="Calibri" w:hAnsi="Calibri"/>
          <w:sz w:val="22"/>
          <w:szCs w:val="22"/>
        </w:rPr>
        <w:t xml:space="preserve"> (face to face)</w:t>
      </w:r>
      <w:r w:rsidRPr="00B34F9C">
        <w:rPr>
          <w:rFonts w:ascii="Calibri" w:hAnsi="Calibri"/>
          <w:sz w:val="22"/>
          <w:szCs w:val="22"/>
        </w:rPr>
        <w:t>, email and phone.</w:t>
      </w:r>
    </w:p>
    <w:p w:rsidR="00311298" w:rsidRDefault="00311298" w:rsidP="00F70BF8">
      <w:pPr>
        <w:autoSpaceDE w:val="0"/>
        <w:autoSpaceDN w:val="0"/>
        <w:adjustRightInd w:val="0"/>
        <w:jc w:val="both"/>
        <w:rPr>
          <w:rFonts w:ascii="Calibri" w:hAnsi="Calibri"/>
          <w:sz w:val="22"/>
          <w:szCs w:val="22"/>
        </w:rPr>
      </w:pPr>
    </w:p>
    <w:p w:rsidR="00311298" w:rsidRPr="00B34F9C" w:rsidRDefault="00311298" w:rsidP="00F70BF8">
      <w:pPr>
        <w:pStyle w:val="ListParagraph"/>
        <w:numPr>
          <w:ilvl w:val="0"/>
          <w:numId w:val="13"/>
        </w:numPr>
        <w:autoSpaceDE w:val="0"/>
        <w:autoSpaceDN w:val="0"/>
        <w:adjustRightInd w:val="0"/>
        <w:jc w:val="both"/>
        <w:rPr>
          <w:rFonts w:ascii="Calibri" w:hAnsi="Calibri"/>
          <w:b/>
          <w:sz w:val="22"/>
          <w:szCs w:val="22"/>
        </w:rPr>
      </w:pPr>
      <w:r w:rsidRPr="00B34F9C">
        <w:rPr>
          <w:rFonts w:ascii="Calibri" w:hAnsi="Calibri"/>
          <w:b/>
          <w:sz w:val="22"/>
          <w:szCs w:val="22"/>
        </w:rPr>
        <w:t>Prioritising tikanga Māori to engage with whānau</w:t>
      </w:r>
    </w:p>
    <w:p w:rsidR="00F70BF8" w:rsidRDefault="00F70BF8" w:rsidP="00F70BF8">
      <w:pPr>
        <w:autoSpaceDE w:val="0"/>
        <w:autoSpaceDN w:val="0"/>
        <w:adjustRightInd w:val="0"/>
        <w:jc w:val="both"/>
        <w:rPr>
          <w:rFonts w:ascii="Calibri" w:hAnsi="Calibri"/>
          <w:sz w:val="22"/>
          <w:szCs w:val="22"/>
        </w:rPr>
      </w:pPr>
    </w:p>
    <w:p w:rsidR="00311298" w:rsidRPr="00F70BF8" w:rsidRDefault="00311298" w:rsidP="00F70BF8">
      <w:pPr>
        <w:autoSpaceDE w:val="0"/>
        <w:autoSpaceDN w:val="0"/>
        <w:adjustRightInd w:val="0"/>
        <w:jc w:val="both"/>
        <w:rPr>
          <w:rFonts w:ascii="Calibri" w:hAnsi="Calibri"/>
          <w:sz w:val="22"/>
          <w:szCs w:val="22"/>
        </w:rPr>
      </w:pPr>
      <w:r w:rsidRPr="00F70BF8">
        <w:rPr>
          <w:rFonts w:ascii="Calibri" w:hAnsi="Calibri"/>
          <w:sz w:val="22"/>
          <w:szCs w:val="22"/>
        </w:rPr>
        <w:t>Greater expression and application of tikanga Māori is reflected in:</w:t>
      </w:r>
    </w:p>
    <w:p w:rsidR="00F70BF8" w:rsidRDefault="00F70BF8" w:rsidP="00F70BF8">
      <w:pPr>
        <w:pStyle w:val="ListParagraph"/>
        <w:autoSpaceDE w:val="0"/>
        <w:autoSpaceDN w:val="0"/>
        <w:adjustRightInd w:val="0"/>
        <w:jc w:val="both"/>
        <w:rPr>
          <w:rFonts w:ascii="Calibri" w:hAnsi="Calibri"/>
          <w:sz w:val="22"/>
          <w:szCs w:val="22"/>
        </w:rPr>
      </w:pPr>
    </w:p>
    <w:p w:rsidR="00311298" w:rsidRPr="00B34F9C" w:rsidRDefault="00311298" w:rsidP="00F70BF8">
      <w:pPr>
        <w:pStyle w:val="ListParagraph"/>
        <w:numPr>
          <w:ilvl w:val="0"/>
          <w:numId w:val="15"/>
        </w:numPr>
        <w:autoSpaceDE w:val="0"/>
        <w:autoSpaceDN w:val="0"/>
        <w:adjustRightInd w:val="0"/>
        <w:jc w:val="both"/>
        <w:rPr>
          <w:rFonts w:ascii="Calibri" w:hAnsi="Calibri"/>
          <w:sz w:val="22"/>
          <w:szCs w:val="22"/>
        </w:rPr>
      </w:pPr>
      <w:r w:rsidRPr="00B34F9C">
        <w:rPr>
          <w:rFonts w:ascii="Calibri" w:hAnsi="Calibri"/>
          <w:sz w:val="22"/>
          <w:szCs w:val="22"/>
        </w:rPr>
        <w:t xml:space="preserve">a growing confidence and understanding amongst kaimahi in applying cultural competencies across services </w:t>
      </w:r>
    </w:p>
    <w:p w:rsidR="00311298" w:rsidRPr="00B34F9C" w:rsidRDefault="00311298" w:rsidP="00F70BF8">
      <w:pPr>
        <w:pStyle w:val="ListParagraph"/>
        <w:numPr>
          <w:ilvl w:val="0"/>
          <w:numId w:val="15"/>
        </w:numPr>
        <w:autoSpaceDE w:val="0"/>
        <w:autoSpaceDN w:val="0"/>
        <w:adjustRightInd w:val="0"/>
        <w:jc w:val="both"/>
        <w:rPr>
          <w:rFonts w:ascii="Calibri" w:hAnsi="Calibri"/>
          <w:sz w:val="22"/>
          <w:szCs w:val="22"/>
        </w:rPr>
      </w:pPr>
      <w:r w:rsidRPr="00B34F9C">
        <w:rPr>
          <w:rFonts w:ascii="Calibri" w:hAnsi="Calibri"/>
          <w:sz w:val="22"/>
          <w:szCs w:val="22"/>
        </w:rPr>
        <w:t>a focus on youth to reconnect with cultural values</w:t>
      </w:r>
    </w:p>
    <w:p w:rsidR="00311298" w:rsidRPr="00B34F9C" w:rsidRDefault="00311298" w:rsidP="00F70BF8">
      <w:pPr>
        <w:pStyle w:val="ListParagraph"/>
        <w:numPr>
          <w:ilvl w:val="0"/>
          <w:numId w:val="15"/>
        </w:numPr>
        <w:autoSpaceDE w:val="0"/>
        <w:autoSpaceDN w:val="0"/>
        <w:adjustRightInd w:val="0"/>
        <w:jc w:val="both"/>
        <w:rPr>
          <w:rFonts w:ascii="Calibri" w:hAnsi="Calibri"/>
          <w:sz w:val="22"/>
          <w:szCs w:val="22"/>
        </w:rPr>
      </w:pPr>
      <w:r w:rsidRPr="00B34F9C">
        <w:rPr>
          <w:rFonts w:ascii="Calibri" w:hAnsi="Calibri"/>
          <w:sz w:val="22"/>
          <w:szCs w:val="22"/>
        </w:rPr>
        <w:t xml:space="preserve">recognition that </w:t>
      </w:r>
      <w:proofErr w:type="spellStart"/>
      <w:r w:rsidRPr="00B34F9C">
        <w:rPr>
          <w:rFonts w:ascii="Calibri" w:hAnsi="Calibri"/>
          <w:sz w:val="22"/>
          <w:szCs w:val="22"/>
        </w:rPr>
        <w:t>whakawhanaungatanga</w:t>
      </w:r>
      <w:proofErr w:type="spellEnd"/>
      <w:r w:rsidRPr="00B34F9C">
        <w:rPr>
          <w:rFonts w:ascii="Calibri" w:hAnsi="Calibri"/>
          <w:sz w:val="22"/>
          <w:szCs w:val="22"/>
        </w:rPr>
        <w:t xml:space="preserve"> is necessary in engaging whānau and contributes to whānau empowerment</w:t>
      </w:r>
    </w:p>
    <w:p w:rsidR="00311298" w:rsidRPr="00B34F9C" w:rsidRDefault="00311298" w:rsidP="00F70BF8">
      <w:pPr>
        <w:pStyle w:val="ListParagraph"/>
        <w:numPr>
          <w:ilvl w:val="0"/>
          <w:numId w:val="15"/>
        </w:numPr>
        <w:autoSpaceDE w:val="0"/>
        <w:autoSpaceDN w:val="0"/>
        <w:adjustRightInd w:val="0"/>
        <w:jc w:val="both"/>
        <w:rPr>
          <w:rFonts w:ascii="Calibri" w:hAnsi="Calibri"/>
          <w:sz w:val="22"/>
          <w:szCs w:val="22"/>
        </w:rPr>
      </w:pPr>
      <w:proofErr w:type="gramStart"/>
      <w:r w:rsidRPr="00B34F9C">
        <w:rPr>
          <w:rFonts w:ascii="Calibri" w:hAnsi="Calibri"/>
          <w:sz w:val="22"/>
          <w:szCs w:val="22"/>
        </w:rPr>
        <w:lastRenderedPageBreak/>
        <w:t>marae-based</w:t>
      </w:r>
      <w:proofErr w:type="gramEnd"/>
      <w:r w:rsidRPr="00B34F9C">
        <w:rPr>
          <w:rFonts w:ascii="Calibri" w:hAnsi="Calibri"/>
          <w:sz w:val="22"/>
          <w:szCs w:val="22"/>
        </w:rPr>
        <w:t xml:space="preserve"> tikanga Māori programmes for whānau; for example, conflict resolution, communication and leadership. </w:t>
      </w:r>
    </w:p>
    <w:p w:rsidR="00311298" w:rsidRPr="00B34F9C" w:rsidRDefault="00311298" w:rsidP="00F70BF8">
      <w:pPr>
        <w:pStyle w:val="ListParagraph"/>
        <w:autoSpaceDE w:val="0"/>
        <w:autoSpaceDN w:val="0"/>
        <w:adjustRightInd w:val="0"/>
        <w:ind w:left="360"/>
        <w:jc w:val="both"/>
        <w:rPr>
          <w:rFonts w:ascii="Calibri" w:hAnsi="Calibri"/>
          <w:sz w:val="22"/>
          <w:szCs w:val="22"/>
        </w:rPr>
      </w:pPr>
    </w:p>
    <w:p w:rsidR="00311298" w:rsidRPr="00B34F9C" w:rsidRDefault="00311298" w:rsidP="00F70BF8">
      <w:pPr>
        <w:pStyle w:val="ListParagraph"/>
        <w:autoSpaceDE w:val="0"/>
        <w:autoSpaceDN w:val="0"/>
        <w:adjustRightInd w:val="0"/>
        <w:ind w:left="1440"/>
        <w:jc w:val="both"/>
        <w:rPr>
          <w:rFonts w:ascii="Calibri" w:hAnsi="Calibri"/>
          <w:i/>
          <w:sz w:val="22"/>
          <w:szCs w:val="22"/>
        </w:rPr>
      </w:pPr>
      <w:r w:rsidRPr="00B34F9C">
        <w:rPr>
          <w:rFonts w:ascii="Calibri" w:hAnsi="Calibri"/>
          <w:i/>
          <w:sz w:val="22"/>
          <w:szCs w:val="22"/>
        </w:rPr>
        <w:t>Collectives are evidencing how whānau engagement and capacity is improving through Whānau Ora:</w:t>
      </w:r>
    </w:p>
    <w:p w:rsidR="00311298" w:rsidRPr="00B34F9C" w:rsidRDefault="00311298" w:rsidP="00F70BF8">
      <w:pPr>
        <w:pStyle w:val="ListParagraph"/>
        <w:autoSpaceDE w:val="0"/>
        <w:autoSpaceDN w:val="0"/>
        <w:adjustRightInd w:val="0"/>
        <w:ind w:left="360"/>
        <w:jc w:val="both"/>
        <w:rPr>
          <w:rFonts w:ascii="Calibri" w:hAnsi="Calibri"/>
          <w:sz w:val="22"/>
          <w:szCs w:val="22"/>
        </w:rPr>
      </w:pPr>
    </w:p>
    <w:p w:rsidR="00311298" w:rsidRPr="00B34F9C" w:rsidRDefault="00311298" w:rsidP="00F70BF8">
      <w:pPr>
        <w:pStyle w:val="ListParagraph"/>
        <w:numPr>
          <w:ilvl w:val="0"/>
          <w:numId w:val="16"/>
        </w:numPr>
        <w:autoSpaceDE w:val="0"/>
        <w:autoSpaceDN w:val="0"/>
        <w:adjustRightInd w:val="0"/>
        <w:jc w:val="both"/>
        <w:rPr>
          <w:rFonts w:ascii="Calibri" w:hAnsi="Calibri"/>
          <w:b/>
          <w:sz w:val="22"/>
          <w:szCs w:val="22"/>
        </w:rPr>
      </w:pPr>
      <w:r w:rsidRPr="00B34F9C">
        <w:rPr>
          <w:rFonts w:ascii="Calibri" w:hAnsi="Calibri"/>
          <w:b/>
          <w:sz w:val="22"/>
          <w:szCs w:val="22"/>
        </w:rPr>
        <w:t xml:space="preserve">Vulnerable whānau </w:t>
      </w:r>
      <w:r>
        <w:rPr>
          <w:rFonts w:ascii="Calibri" w:hAnsi="Calibri"/>
          <w:b/>
          <w:sz w:val="22"/>
          <w:szCs w:val="22"/>
        </w:rPr>
        <w:t xml:space="preserve">and families </w:t>
      </w:r>
      <w:r w:rsidRPr="00B34F9C">
        <w:rPr>
          <w:rFonts w:ascii="Calibri" w:hAnsi="Calibri"/>
          <w:b/>
          <w:sz w:val="22"/>
          <w:szCs w:val="22"/>
        </w:rPr>
        <w:t>are engaged where they were not before</w:t>
      </w:r>
    </w:p>
    <w:p w:rsidR="00F70BF8" w:rsidRDefault="00F70BF8" w:rsidP="00F70BF8">
      <w:pPr>
        <w:pStyle w:val="ListParagraph"/>
        <w:autoSpaceDE w:val="0"/>
        <w:autoSpaceDN w:val="0"/>
        <w:adjustRightInd w:val="0"/>
        <w:ind w:left="360"/>
        <w:jc w:val="both"/>
        <w:rPr>
          <w:rFonts w:ascii="Calibri" w:hAnsi="Calibri"/>
          <w:sz w:val="22"/>
          <w:szCs w:val="22"/>
        </w:rPr>
      </w:pPr>
    </w:p>
    <w:p w:rsidR="00311298" w:rsidRPr="00B34F9C" w:rsidRDefault="00311298" w:rsidP="00F70BF8">
      <w:pPr>
        <w:pStyle w:val="ListParagraph"/>
        <w:autoSpaceDE w:val="0"/>
        <w:autoSpaceDN w:val="0"/>
        <w:adjustRightInd w:val="0"/>
        <w:ind w:left="360"/>
        <w:jc w:val="both"/>
        <w:rPr>
          <w:rFonts w:ascii="Calibri" w:hAnsi="Calibri"/>
          <w:sz w:val="22"/>
          <w:szCs w:val="22"/>
        </w:rPr>
      </w:pPr>
      <w:r w:rsidRPr="00B34F9C">
        <w:rPr>
          <w:rFonts w:ascii="Calibri" w:hAnsi="Calibri"/>
          <w:sz w:val="22"/>
          <w:szCs w:val="22"/>
        </w:rPr>
        <w:t>Initiating programmes in response to whānau-identified needs has brought vulnerable whānau to collectives; for example, hard-to-</w:t>
      </w:r>
      <w:r>
        <w:rPr>
          <w:rFonts w:ascii="Calibri" w:hAnsi="Calibri"/>
          <w:sz w:val="22"/>
          <w:szCs w:val="22"/>
        </w:rPr>
        <w:t>reach males attending a driver</w:t>
      </w:r>
      <w:r w:rsidRPr="00B34F9C">
        <w:rPr>
          <w:rFonts w:ascii="Calibri" w:hAnsi="Calibri"/>
          <w:sz w:val="22"/>
          <w:szCs w:val="22"/>
        </w:rPr>
        <w:t xml:space="preserve"> licensing course. Collectives are also extending their approach to settings where vulnerable whānau are; for example, working with whānau of youth offenders, </w:t>
      </w:r>
      <w:r>
        <w:rPr>
          <w:rFonts w:ascii="Calibri" w:hAnsi="Calibri"/>
          <w:sz w:val="22"/>
          <w:szCs w:val="22"/>
        </w:rPr>
        <w:t xml:space="preserve">and </w:t>
      </w:r>
      <w:r w:rsidRPr="00B34F9C">
        <w:rPr>
          <w:rFonts w:ascii="Calibri" w:hAnsi="Calibri"/>
          <w:sz w:val="22"/>
          <w:szCs w:val="22"/>
        </w:rPr>
        <w:t>supporting whānau planning for women and children at Women’s Refuge.</w:t>
      </w:r>
    </w:p>
    <w:p w:rsidR="00311298" w:rsidRPr="00B34F9C" w:rsidRDefault="00311298" w:rsidP="00F70BF8">
      <w:pPr>
        <w:pStyle w:val="ListParagraph"/>
        <w:autoSpaceDE w:val="0"/>
        <w:autoSpaceDN w:val="0"/>
        <w:adjustRightInd w:val="0"/>
        <w:ind w:left="360"/>
        <w:jc w:val="both"/>
        <w:rPr>
          <w:rFonts w:ascii="Calibri" w:hAnsi="Calibri"/>
          <w:sz w:val="22"/>
          <w:szCs w:val="22"/>
        </w:rPr>
      </w:pPr>
    </w:p>
    <w:p w:rsidR="00311298" w:rsidRPr="00B34F9C" w:rsidRDefault="00311298" w:rsidP="00F70BF8">
      <w:pPr>
        <w:pStyle w:val="ListParagraph"/>
        <w:autoSpaceDE w:val="0"/>
        <w:autoSpaceDN w:val="0"/>
        <w:adjustRightInd w:val="0"/>
        <w:ind w:left="360"/>
        <w:jc w:val="both"/>
        <w:rPr>
          <w:rFonts w:ascii="Calibri" w:hAnsi="Calibri"/>
          <w:b/>
          <w:sz w:val="22"/>
          <w:szCs w:val="22"/>
        </w:rPr>
      </w:pPr>
      <w:r w:rsidRPr="00B34F9C">
        <w:rPr>
          <w:rFonts w:ascii="Calibri" w:hAnsi="Calibri"/>
          <w:sz w:val="22"/>
          <w:szCs w:val="22"/>
        </w:rPr>
        <w:t>•</w:t>
      </w:r>
      <w:r w:rsidRPr="00B34F9C">
        <w:rPr>
          <w:rFonts w:ascii="Calibri" w:hAnsi="Calibri"/>
          <w:sz w:val="22"/>
          <w:szCs w:val="22"/>
        </w:rPr>
        <w:tab/>
      </w:r>
      <w:r w:rsidRPr="00B34F9C">
        <w:rPr>
          <w:rFonts w:ascii="Calibri" w:hAnsi="Calibri"/>
          <w:b/>
          <w:sz w:val="22"/>
          <w:szCs w:val="22"/>
        </w:rPr>
        <w:t>Whānau relationships are improving through Whānau Ora engagement</w:t>
      </w:r>
    </w:p>
    <w:p w:rsidR="00F70BF8" w:rsidRDefault="00F70BF8" w:rsidP="00F70BF8">
      <w:pPr>
        <w:pStyle w:val="ListParagraph"/>
        <w:autoSpaceDE w:val="0"/>
        <w:autoSpaceDN w:val="0"/>
        <w:adjustRightInd w:val="0"/>
        <w:ind w:left="360"/>
        <w:jc w:val="both"/>
        <w:rPr>
          <w:rFonts w:ascii="Calibri" w:hAnsi="Calibri"/>
          <w:sz w:val="22"/>
          <w:szCs w:val="22"/>
        </w:rPr>
      </w:pPr>
    </w:p>
    <w:p w:rsidR="00311298" w:rsidRPr="00B34F9C" w:rsidRDefault="00311298" w:rsidP="00F70BF8">
      <w:pPr>
        <w:pStyle w:val="ListParagraph"/>
        <w:autoSpaceDE w:val="0"/>
        <w:autoSpaceDN w:val="0"/>
        <w:adjustRightInd w:val="0"/>
        <w:ind w:left="360"/>
        <w:jc w:val="both"/>
        <w:rPr>
          <w:rFonts w:ascii="Calibri" w:hAnsi="Calibri"/>
          <w:sz w:val="22"/>
          <w:szCs w:val="22"/>
        </w:rPr>
      </w:pPr>
      <w:r w:rsidRPr="00B34F9C">
        <w:rPr>
          <w:rFonts w:ascii="Calibri" w:hAnsi="Calibri"/>
          <w:sz w:val="22"/>
          <w:szCs w:val="22"/>
        </w:rPr>
        <w:t xml:space="preserve">As </w:t>
      </w:r>
      <w:proofErr w:type="spellStart"/>
      <w:r w:rsidRPr="00B34F9C">
        <w:rPr>
          <w:rFonts w:ascii="Calibri" w:hAnsi="Calibri"/>
          <w:sz w:val="22"/>
          <w:szCs w:val="22"/>
        </w:rPr>
        <w:t>whanaungatanga</w:t>
      </w:r>
      <w:proofErr w:type="spellEnd"/>
      <w:r w:rsidRPr="00B34F9C">
        <w:rPr>
          <w:rFonts w:ascii="Calibri" w:hAnsi="Calibri"/>
          <w:sz w:val="22"/>
          <w:szCs w:val="22"/>
        </w:rPr>
        <w:t xml:space="preserve"> (relationships) underpins most collectives’ engagement with whānau, a critical first step to whānau progress is building trust between whānau members as well as between whānau and kaimahi. Strengthened whānau relationships pave the way for other achievements. </w:t>
      </w:r>
    </w:p>
    <w:p w:rsidR="00311298" w:rsidRPr="00B34F9C" w:rsidRDefault="00311298" w:rsidP="00F70BF8">
      <w:pPr>
        <w:pStyle w:val="ListParagraph"/>
        <w:autoSpaceDE w:val="0"/>
        <w:autoSpaceDN w:val="0"/>
        <w:adjustRightInd w:val="0"/>
        <w:ind w:left="360"/>
        <w:jc w:val="both"/>
        <w:rPr>
          <w:rFonts w:ascii="Calibri" w:hAnsi="Calibri"/>
          <w:sz w:val="22"/>
          <w:szCs w:val="22"/>
        </w:rPr>
      </w:pPr>
    </w:p>
    <w:p w:rsidR="00311298" w:rsidRPr="00B34F9C" w:rsidRDefault="00311298" w:rsidP="00F70BF8">
      <w:pPr>
        <w:pStyle w:val="ListParagraph"/>
        <w:autoSpaceDE w:val="0"/>
        <w:autoSpaceDN w:val="0"/>
        <w:adjustRightInd w:val="0"/>
        <w:ind w:left="360"/>
        <w:jc w:val="both"/>
        <w:rPr>
          <w:rFonts w:ascii="Calibri" w:hAnsi="Calibri"/>
          <w:b/>
          <w:sz w:val="22"/>
          <w:szCs w:val="22"/>
        </w:rPr>
      </w:pPr>
      <w:r w:rsidRPr="00B34F9C">
        <w:rPr>
          <w:rFonts w:ascii="Calibri" w:hAnsi="Calibri"/>
          <w:sz w:val="22"/>
          <w:szCs w:val="22"/>
        </w:rPr>
        <w:t>•</w:t>
      </w:r>
      <w:r w:rsidRPr="00B34F9C">
        <w:rPr>
          <w:rFonts w:ascii="Calibri" w:hAnsi="Calibri"/>
          <w:sz w:val="22"/>
          <w:szCs w:val="22"/>
        </w:rPr>
        <w:tab/>
      </w:r>
      <w:r w:rsidRPr="00B34F9C">
        <w:rPr>
          <w:rFonts w:ascii="Calibri" w:hAnsi="Calibri"/>
          <w:b/>
          <w:sz w:val="22"/>
          <w:szCs w:val="22"/>
        </w:rPr>
        <w:t xml:space="preserve">Whānau are learning to set goals and prioritise needs </w:t>
      </w:r>
    </w:p>
    <w:p w:rsidR="00F70BF8" w:rsidRDefault="00F70BF8" w:rsidP="00F70BF8">
      <w:pPr>
        <w:pStyle w:val="ListParagraph"/>
        <w:autoSpaceDE w:val="0"/>
        <w:autoSpaceDN w:val="0"/>
        <w:adjustRightInd w:val="0"/>
        <w:ind w:left="360"/>
        <w:jc w:val="both"/>
        <w:rPr>
          <w:rFonts w:ascii="Calibri" w:hAnsi="Calibri"/>
          <w:sz w:val="22"/>
          <w:szCs w:val="22"/>
        </w:rPr>
      </w:pPr>
    </w:p>
    <w:p w:rsidR="00311298" w:rsidRPr="00B34F9C" w:rsidRDefault="00311298" w:rsidP="00F70BF8">
      <w:pPr>
        <w:pStyle w:val="ListParagraph"/>
        <w:autoSpaceDE w:val="0"/>
        <w:autoSpaceDN w:val="0"/>
        <w:adjustRightInd w:val="0"/>
        <w:ind w:left="360"/>
        <w:jc w:val="both"/>
        <w:rPr>
          <w:rFonts w:ascii="Calibri" w:hAnsi="Calibri"/>
          <w:sz w:val="22"/>
          <w:szCs w:val="22"/>
        </w:rPr>
      </w:pPr>
      <w:r w:rsidRPr="00B34F9C">
        <w:rPr>
          <w:rFonts w:ascii="Calibri" w:hAnsi="Calibri"/>
          <w:sz w:val="22"/>
          <w:szCs w:val="22"/>
        </w:rPr>
        <w:t xml:space="preserve">The whānau planning process supports whānau </w:t>
      </w:r>
      <w:r>
        <w:rPr>
          <w:rFonts w:ascii="Calibri" w:hAnsi="Calibri"/>
          <w:sz w:val="22"/>
          <w:szCs w:val="22"/>
        </w:rPr>
        <w:t xml:space="preserve">and families </w:t>
      </w:r>
      <w:r w:rsidRPr="00B34F9C">
        <w:rPr>
          <w:rFonts w:ascii="Calibri" w:hAnsi="Calibri"/>
          <w:sz w:val="22"/>
          <w:szCs w:val="22"/>
        </w:rPr>
        <w:t xml:space="preserve">to prioritise goals and needs, and to assess risks so they are more able to self-manage in the future. Support provided by navigators includes facilitation and skills building in goal setting and risk assessment. </w:t>
      </w:r>
    </w:p>
    <w:p w:rsidR="00311298" w:rsidRPr="00B34F9C" w:rsidRDefault="00311298" w:rsidP="00F70BF8">
      <w:pPr>
        <w:pStyle w:val="ListParagraph"/>
        <w:autoSpaceDE w:val="0"/>
        <w:autoSpaceDN w:val="0"/>
        <w:adjustRightInd w:val="0"/>
        <w:ind w:left="360"/>
        <w:jc w:val="both"/>
        <w:rPr>
          <w:rFonts w:ascii="Calibri" w:hAnsi="Calibri"/>
          <w:sz w:val="22"/>
          <w:szCs w:val="22"/>
        </w:rPr>
      </w:pPr>
    </w:p>
    <w:p w:rsidR="00311298" w:rsidRPr="00B34F9C" w:rsidRDefault="00311298" w:rsidP="00F70BF8">
      <w:pPr>
        <w:pStyle w:val="ListParagraph"/>
        <w:autoSpaceDE w:val="0"/>
        <w:autoSpaceDN w:val="0"/>
        <w:adjustRightInd w:val="0"/>
        <w:ind w:left="360"/>
        <w:jc w:val="both"/>
        <w:rPr>
          <w:rFonts w:ascii="Calibri" w:hAnsi="Calibri"/>
          <w:b/>
          <w:sz w:val="22"/>
          <w:szCs w:val="22"/>
        </w:rPr>
      </w:pPr>
      <w:r w:rsidRPr="00B34F9C">
        <w:rPr>
          <w:rFonts w:ascii="Calibri" w:hAnsi="Calibri"/>
          <w:sz w:val="22"/>
          <w:szCs w:val="22"/>
        </w:rPr>
        <w:t>•</w:t>
      </w:r>
      <w:r w:rsidRPr="00B34F9C">
        <w:rPr>
          <w:rFonts w:ascii="Calibri" w:hAnsi="Calibri"/>
          <w:sz w:val="22"/>
          <w:szCs w:val="22"/>
        </w:rPr>
        <w:tab/>
      </w:r>
      <w:r w:rsidRPr="00B34F9C">
        <w:rPr>
          <w:rFonts w:ascii="Calibri" w:hAnsi="Calibri"/>
          <w:b/>
          <w:sz w:val="22"/>
          <w:szCs w:val="22"/>
        </w:rPr>
        <w:t>Whānau are completing courses/training through their engagement</w:t>
      </w:r>
    </w:p>
    <w:p w:rsidR="00F70BF8" w:rsidRDefault="00F70BF8" w:rsidP="00F70BF8">
      <w:pPr>
        <w:pStyle w:val="ListParagraph"/>
        <w:autoSpaceDE w:val="0"/>
        <w:autoSpaceDN w:val="0"/>
        <w:adjustRightInd w:val="0"/>
        <w:ind w:left="360"/>
        <w:jc w:val="both"/>
        <w:rPr>
          <w:rFonts w:ascii="Calibri" w:hAnsi="Calibri"/>
          <w:sz w:val="22"/>
          <w:szCs w:val="22"/>
        </w:rPr>
      </w:pPr>
    </w:p>
    <w:p w:rsidR="00311298" w:rsidRPr="00B34F9C" w:rsidRDefault="00311298" w:rsidP="00F70BF8">
      <w:pPr>
        <w:pStyle w:val="ListParagraph"/>
        <w:autoSpaceDE w:val="0"/>
        <w:autoSpaceDN w:val="0"/>
        <w:adjustRightInd w:val="0"/>
        <w:ind w:left="360"/>
        <w:jc w:val="both"/>
        <w:rPr>
          <w:rFonts w:ascii="Calibri" w:hAnsi="Calibri"/>
          <w:sz w:val="22"/>
          <w:szCs w:val="22"/>
        </w:rPr>
      </w:pPr>
      <w:r w:rsidRPr="00B34F9C">
        <w:rPr>
          <w:rFonts w:ascii="Calibri" w:hAnsi="Calibri"/>
          <w:sz w:val="22"/>
          <w:szCs w:val="22"/>
        </w:rPr>
        <w:t>Education and training is a major component of whānau capacity building in Whānau Ora. In many instances, collectives are initiating or linking with courses in response to whānau-identified needs. These include courses in rangatahi leadership, conflict resolution, parenting, PATH planning, financial liter</w:t>
      </w:r>
      <w:r>
        <w:rPr>
          <w:rFonts w:ascii="Calibri" w:hAnsi="Calibri"/>
          <w:sz w:val="22"/>
          <w:szCs w:val="22"/>
        </w:rPr>
        <w:t>acy, tikanga (culture), driver</w:t>
      </w:r>
      <w:r w:rsidRPr="00B34F9C">
        <w:rPr>
          <w:rFonts w:ascii="Calibri" w:hAnsi="Calibri"/>
          <w:sz w:val="22"/>
          <w:szCs w:val="22"/>
        </w:rPr>
        <w:t xml:space="preserve"> licensing and NCEA achievement. </w:t>
      </w:r>
    </w:p>
    <w:p w:rsidR="00311298" w:rsidRPr="00B34F9C" w:rsidRDefault="00311298" w:rsidP="00F70BF8">
      <w:pPr>
        <w:pStyle w:val="ListParagraph"/>
        <w:autoSpaceDE w:val="0"/>
        <w:autoSpaceDN w:val="0"/>
        <w:adjustRightInd w:val="0"/>
        <w:ind w:left="360"/>
        <w:jc w:val="both"/>
        <w:rPr>
          <w:rFonts w:ascii="Calibri" w:hAnsi="Calibri"/>
          <w:sz w:val="22"/>
          <w:szCs w:val="22"/>
        </w:rPr>
      </w:pPr>
    </w:p>
    <w:p w:rsidR="00311298" w:rsidRPr="00B34F9C" w:rsidRDefault="00311298" w:rsidP="00F70BF8">
      <w:pPr>
        <w:pStyle w:val="ListParagraph"/>
        <w:autoSpaceDE w:val="0"/>
        <w:autoSpaceDN w:val="0"/>
        <w:adjustRightInd w:val="0"/>
        <w:ind w:left="360"/>
        <w:jc w:val="both"/>
        <w:rPr>
          <w:rFonts w:ascii="Calibri" w:hAnsi="Calibri"/>
          <w:b/>
          <w:sz w:val="22"/>
          <w:szCs w:val="22"/>
        </w:rPr>
      </w:pPr>
      <w:r w:rsidRPr="00B34F9C">
        <w:rPr>
          <w:rFonts w:ascii="Calibri" w:hAnsi="Calibri"/>
          <w:sz w:val="22"/>
          <w:szCs w:val="22"/>
        </w:rPr>
        <w:t>•</w:t>
      </w:r>
      <w:r w:rsidRPr="00B34F9C">
        <w:rPr>
          <w:rFonts w:ascii="Calibri" w:hAnsi="Calibri"/>
          <w:sz w:val="22"/>
          <w:szCs w:val="22"/>
        </w:rPr>
        <w:tab/>
      </w:r>
      <w:r w:rsidRPr="00B34F9C">
        <w:rPr>
          <w:rFonts w:ascii="Calibri" w:hAnsi="Calibri"/>
          <w:b/>
          <w:sz w:val="22"/>
          <w:szCs w:val="22"/>
        </w:rPr>
        <w:t xml:space="preserve">Whānau are resolving crises and reducing their needs </w:t>
      </w:r>
    </w:p>
    <w:p w:rsidR="00F70BF8" w:rsidRDefault="00F70BF8" w:rsidP="00F70BF8">
      <w:pPr>
        <w:pStyle w:val="ListParagraph"/>
        <w:autoSpaceDE w:val="0"/>
        <w:autoSpaceDN w:val="0"/>
        <w:adjustRightInd w:val="0"/>
        <w:ind w:left="360"/>
        <w:jc w:val="both"/>
        <w:rPr>
          <w:rFonts w:ascii="Calibri" w:hAnsi="Calibri"/>
          <w:sz w:val="22"/>
          <w:szCs w:val="22"/>
        </w:rPr>
      </w:pPr>
    </w:p>
    <w:p w:rsidR="00311298" w:rsidRPr="00B34F9C" w:rsidRDefault="00311298" w:rsidP="00F70BF8">
      <w:pPr>
        <w:pStyle w:val="ListParagraph"/>
        <w:autoSpaceDE w:val="0"/>
        <w:autoSpaceDN w:val="0"/>
        <w:adjustRightInd w:val="0"/>
        <w:ind w:left="360"/>
        <w:jc w:val="both"/>
        <w:rPr>
          <w:rFonts w:ascii="Calibri" w:hAnsi="Calibri"/>
          <w:sz w:val="22"/>
          <w:szCs w:val="22"/>
        </w:rPr>
      </w:pPr>
      <w:r w:rsidRPr="00B34F9C">
        <w:rPr>
          <w:rFonts w:ascii="Calibri" w:hAnsi="Calibri"/>
          <w:sz w:val="22"/>
          <w:szCs w:val="22"/>
        </w:rPr>
        <w:t>Collectives who conduct repeat needs assessments through whānau planning identify that 70 to 90 per</w:t>
      </w:r>
      <w:r>
        <w:rPr>
          <w:rFonts w:ascii="Calibri" w:hAnsi="Calibri"/>
          <w:sz w:val="22"/>
          <w:szCs w:val="22"/>
        </w:rPr>
        <w:t xml:space="preserve"> </w:t>
      </w:r>
      <w:r w:rsidRPr="00B34F9C">
        <w:rPr>
          <w:rFonts w:ascii="Calibri" w:hAnsi="Calibri"/>
          <w:sz w:val="22"/>
          <w:szCs w:val="22"/>
        </w:rPr>
        <w:t xml:space="preserve">cent of whānau are showing a lower level of need from initial visits and are more confident in managing </w:t>
      </w:r>
      <w:proofErr w:type="spellStart"/>
      <w:r w:rsidRPr="00B34F9C">
        <w:rPr>
          <w:rFonts w:ascii="Calibri" w:hAnsi="Calibri"/>
          <w:sz w:val="22"/>
          <w:szCs w:val="22"/>
        </w:rPr>
        <w:t>ongoing</w:t>
      </w:r>
      <w:proofErr w:type="spellEnd"/>
      <w:r w:rsidRPr="00B34F9C">
        <w:rPr>
          <w:rFonts w:ascii="Calibri" w:hAnsi="Calibri"/>
          <w:sz w:val="22"/>
          <w:szCs w:val="22"/>
        </w:rPr>
        <w:t xml:space="preserve"> issues.</w:t>
      </w:r>
    </w:p>
    <w:p w:rsidR="00311298" w:rsidRPr="00B34F9C" w:rsidRDefault="00311298" w:rsidP="00F70BF8">
      <w:pPr>
        <w:pStyle w:val="ListParagraph"/>
        <w:autoSpaceDE w:val="0"/>
        <w:autoSpaceDN w:val="0"/>
        <w:adjustRightInd w:val="0"/>
        <w:ind w:left="360"/>
        <w:jc w:val="both"/>
        <w:rPr>
          <w:rFonts w:ascii="Calibri" w:hAnsi="Calibri"/>
          <w:sz w:val="22"/>
          <w:szCs w:val="22"/>
        </w:rPr>
      </w:pPr>
    </w:p>
    <w:p w:rsidR="00311298" w:rsidRPr="00B34F9C" w:rsidRDefault="00311298" w:rsidP="00F70BF8">
      <w:pPr>
        <w:pStyle w:val="ListParagraph"/>
        <w:autoSpaceDE w:val="0"/>
        <w:autoSpaceDN w:val="0"/>
        <w:adjustRightInd w:val="0"/>
        <w:ind w:left="360"/>
        <w:jc w:val="both"/>
        <w:rPr>
          <w:rFonts w:ascii="Calibri" w:hAnsi="Calibri"/>
          <w:b/>
          <w:sz w:val="22"/>
          <w:szCs w:val="22"/>
        </w:rPr>
      </w:pPr>
      <w:r w:rsidRPr="00B34F9C">
        <w:rPr>
          <w:rFonts w:ascii="Calibri" w:hAnsi="Calibri"/>
          <w:sz w:val="22"/>
          <w:szCs w:val="22"/>
        </w:rPr>
        <w:t>•</w:t>
      </w:r>
      <w:r w:rsidRPr="00B34F9C">
        <w:rPr>
          <w:rFonts w:ascii="Calibri" w:hAnsi="Calibri"/>
          <w:sz w:val="22"/>
          <w:szCs w:val="22"/>
        </w:rPr>
        <w:tab/>
      </w:r>
      <w:r w:rsidRPr="00B34F9C">
        <w:rPr>
          <w:rFonts w:ascii="Calibri" w:hAnsi="Calibri"/>
          <w:b/>
          <w:sz w:val="22"/>
          <w:szCs w:val="22"/>
        </w:rPr>
        <w:t>Most whānau are achieving a range of aspirations and some are now ‘self-managing’</w:t>
      </w:r>
    </w:p>
    <w:p w:rsidR="00F70BF8" w:rsidRDefault="00F70BF8" w:rsidP="00F70BF8">
      <w:pPr>
        <w:pStyle w:val="ListParagraph"/>
        <w:autoSpaceDE w:val="0"/>
        <w:autoSpaceDN w:val="0"/>
        <w:adjustRightInd w:val="0"/>
        <w:ind w:left="360"/>
        <w:jc w:val="both"/>
        <w:rPr>
          <w:rFonts w:ascii="Calibri" w:hAnsi="Calibri"/>
          <w:sz w:val="22"/>
          <w:szCs w:val="22"/>
        </w:rPr>
      </w:pPr>
    </w:p>
    <w:p w:rsidR="00311298" w:rsidRPr="00B34F9C" w:rsidRDefault="00311298" w:rsidP="00F70BF8">
      <w:pPr>
        <w:pStyle w:val="ListParagraph"/>
        <w:autoSpaceDE w:val="0"/>
        <w:autoSpaceDN w:val="0"/>
        <w:adjustRightInd w:val="0"/>
        <w:ind w:left="360"/>
        <w:jc w:val="both"/>
        <w:rPr>
          <w:rFonts w:ascii="Calibri" w:hAnsi="Calibri"/>
          <w:sz w:val="22"/>
          <w:szCs w:val="22"/>
        </w:rPr>
      </w:pPr>
      <w:r w:rsidRPr="00B34F9C">
        <w:rPr>
          <w:rFonts w:ascii="Calibri" w:hAnsi="Calibri"/>
          <w:sz w:val="22"/>
          <w:szCs w:val="22"/>
        </w:rPr>
        <w:t xml:space="preserve">The majority of whānau plans progressed in the March 2013 quarter are showing goal achievement across all areas – from </w:t>
      </w:r>
      <w:proofErr w:type="gramStart"/>
      <w:r w:rsidRPr="00B34F9C">
        <w:rPr>
          <w:rFonts w:ascii="Calibri" w:hAnsi="Calibri"/>
          <w:sz w:val="22"/>
          <w:szCs w:val="22"/>
        </w:rPr>
        <w:t>te</w:t>
      </w:r>
      <w:proofErr w:type="gramEnd"/>
      <w:r w:rsidRPr="00B34F9C">
        <w:rPr>
          <w:rFonts w:ascii="Calibri" w:hAnsi="Calibri"/>
          <w:sz w:val="22"/>
          <w:szCs w:val="22"/>
        </w:rPr>
        <w:t xml:space="preserve"> ao Māori </w:t>
      </w:r>
      <w:r>
        <w:rPr>
          <w:rFonts w:ascii="Calibri" w:hAnsi="Calibri"/>
          <w:sz w:val="22"/>
          <w:szCs w:val="22"/>
        </w:rPr>
        <w:t xml:space="preserve">(the Māori world) </w:t>
      </w:r>
      <w:r w:rsidRPr="00B34F9C">
        <w:rPr>
          <w:rFonts w:ascii="Calibri" w:hAnsi="Calibri"/>
          <w:sz w:val="22"/>
          <w:szCs w:val="22"/>
        </w:rPr>
        <w:t>and leadership to safety, skill development, education/training, relationships, finances and health. Some collectives estimate that up to 20 per</w:t>
      </w:r>
      <w:r>
        <w:rPr>
          <w:rFonts w:ascii="Calibri" w:hAnsi="Calibri"/>
          <w:sz w:val="22"/>
          <w:szCs w:val="22"/>
        </w:rPr>
        <w:t xml:space="preserve"> </w:t>
      </w:r>
      <w:r w:rsidRPr="00B34F9C">
        <w:rPr>
          <w:rFonts w:ascii="Calibri" w:hAnsi="Calibri"/>
          <w:sz w:val="22"/>
          <w:szCs w:val="22"/>
        </w:rPr>
        <w:t xml:space="preserve">cent of whānau are now self-managing their plans. </w:t>
      </w:r>
    </w:p>
    <w:p w:rsidR="00FF1AA2" w:rsidRPr="00311298" w:rsidRDefault="00FF1AA2" w:rsidP="00311298">
      <w:pPr>
        <w:rPr>
          <w:rFonts w:asciiTheme="minorHAnsi" w:hAnsiTheme="minorHAnsi" w:cs="Arial"/>
          <w:sz w:val="22"/>
          <w:szCs w:val="22"/>
        </w:rPr>
      </w:pPr>
    </w:p>
    <w:sectPr w:rsidR="00FF1AA2" w:rsidRPr="00311298" w:rsidSect="00531436">
      <w:headerReference w:type="even" r:id="rId11"/>
      <w:headerReference w:type="default" r:id="rId12"/>
      <w:footerReference w:type="even" r:id="rId13"/>
      <w:footerReference w:type="default" r:id="rId14"/>
      <w:headerReference w:type="first" r:id="rId15"/>
      <w:footerReference w:type="first" r:id="rId16"/>
      <w:pgSz w:w="11907" w:h="16840"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6AF" w:rsidRDefault="007B46AF" w:rsidP="00010A05">
      <w:r>
        <w:separator/>
      </w:r>
    </w:p>
  </w:endnote>
  <w:endnote w:type="continuationSeparator" w:id="0">
    <w:p w:rsidR="007B46AF" w:rsidRDefault="007B46AF" w:rsidP="0001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othic720BT-RomanB">
    <w:altName w:val="Times New Roman"/>
    <w:charset w:val="4D"/>
    <w:family w:val="auto"/>
    <w:pitch w:val="default"/>
  </w:font>
  <w:font w:name="Georgia">
    <w:panose1 w:val="02040502050405020303"/>
    <w:charset w:val="00"/>
    <w:family w:val="roman"/>
    <w:pitch w:val="variable"/>
    <w:sig w:usb0="00000287" w:usb1="00000000" w:usb2="00000000" w:usb3="00000000" w:csb0="0000009F" w:csb1="00000000"/>
  </w:font>
  <w:font w:name="RotisSansMi">
    <w:panose1 w:val="00000000000000000000"/>
    <w:charset w:val="00"/>
    <w:family w:val="modern"/>
    <w:notTrueType/>
    <w:pitch w:val="variable"/>
    <w:sig w:usb0="8000002F" w:usb1="4000004A" w:usb2="00000000" w:usb3="00000000" w:csb0="00000001" w:csb1="00000000"/>
  </w:font>
  <w:font w:name="RotisSansExMi">
    <w:charset w:val="00"/>
    <w:family w:val="auto"/>
    <w:pitch w:val="variable"/>
    <w:sig w:usb0="00000003" w:usb1="00000000" w:usb2="00000000" w:usb3="00000000" w:csb0="00000001" w:csb1="00000000"/>
  </w:font>
  <w:font w:name="RotisSansMi-Ligh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21" w:rsidRDefault="005D1C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21" w:rsidRDefault="005D1C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21" w:rsidRDefault="005D1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6AF" w:rsidRDefault="007B46AF" w:rsidP="00010A05">
      <w:r>
        <w:separator/>
      </w:r>
    </w:p>
  </w:footnote>
  <w:footnote w:type="continuationSeparator" w:id="0">
    <w:p w:rsidR="007B46AF" w:rsidRDefault="007B46AF" w:rsidP="00010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21" w:rsidRDefault="005D1C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21" w:rsidRDefault="005D1C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C9" w:rsidRDefault="00170C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251F"/>
    <w:multiLevelType w:val="hybridMultilevel"/>
    <w:tmpl w:val="923EC8A2"/>
    <w:lvl w:ilvl="0" w:tplc="CCDA71F2">
      <w:numFmt w:val="bullet"/>
      <w:lvlText w:val="-"/>
      <w:lvlJc w:val="left"/>
      <w:pPr>
        <w:ind w:left="720" w:hanging="36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5D727CE"/>
    <w:multiLevelType w:val="hybridMultilevel"/>
    <w:tmpl w:val="70944F64"/>
    <w:lvl w:ilvl="0" w:tplc="2A8E017C">
      <w:start w:val="1"/>
      <w:numFmt w:val="bullet"/>
      <w:lvlText w:val="-"/>
      <w:lvlJc w:val="left"/>
      <w:pPr>
        <w:ind w:left="720" w:hanging="36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82D5671"/>
    <w:multiLevelType w:val="hybridMultilevel"/>
    <w:tmpl w:val="DB18C7A6"/>
    <w:lvl w:ilvl="0" w:tplc="18222230">
      <w:start w:val="16"/>
      <w:numFmt w:val="bullet"/>
      <w:lvlText w:val=""/>
      <w:lvlJc w:val="left"/>
      <w:pPr>
        <w:ind w:left="360" w:hanging="360"/>
      </w:pPr>
      <w:rPr>
        <w:rFonts w:ascii="Symbol" w:eastAsia="Times New Roman" w:hAnsi="Symbol" w:cs="Times New Roman"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08B40A9F"/>
    <w:multiLevelType w:val="hybridMultilevel"/>
    <w:tmpl w:val="B18495C8"/>
    <w:lvl w:ilvl="0" w:tplc="14090001">
      <w:start w:val="1"/>
      <w:numFmt w:val="bullet"/>
      <w:lvlText w:val=""/>
      <w:lvlJc w:val="left"/>
      <w:pPr>
        <w:ind w:left="360" w:hanging="360"/>
      </w:pPr>
      <w:rPr>
        <w:rFonts w:ascii="Symbol" w:eastAsia="Times New Roman" w:hAnsi="Symbol" w:cs="Times New Roman"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09233990"/>
    <w:multiLevelType w:val="hybridMultilevel"/>
    <w:tmpl w:val="FA32E9C4"/>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5">
    <w:nsid w:val="11245359"/>
    <w:multiLevelType w:val="hybridMultilevel"/>
    <w:tmpl w:val="AB929320"/>
    <w:lvl w:ilvl="0" w:tplc="CCDA71F2">
      <w:numFmt w:val="bullet"/>
      <w:lvlText w:val="-"/>
      <w:lvlJc w:val="left"/>
      <w:pPr>
        <w:ind w:left="720" w:hanging="36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12DC48BC"/>
    <w:multiLevelType w:val="hybridMultilevel"/>
    <w:tmpl w:val="246CC436"/>
    <w:lvl w:ilvl="0" w:tplc="4BD46068">
      <w:start w:val="1"/>
      <w:numFmt w:val="bullet"/>
      <w:lvlText w:val=""/>
      <w:lvlJc w:val="left"/>
      <w:pPr>
        <w:ind w:left="36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194056E5"/>
    <w:multiLevelType w:val="hybridMultilevel"/>
    <w:tmpl w:val="B94E9B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2A9845D7"/>
    <w:multiLevelType w:val="hybridMultilevel"/>
    <w:tmpl w:val="2146BDD2"/>
    <w:lvl w:ilvl="0" w:tplc="9708B4C2">
      <w:start w:val="15"/>
      <w:numFmt w:val="bullet"/>
      <w:lvlText w:val="-"/>
      <w:lvlJc w:val="left"/>
      <w:pPr>
        <w:ind w:left="720" w:hanging="360"/>
      </w:pPr>
      <w:rPr>
        <w:rFonts w:ascii="Calibri" w:eastAsia="Times New Roman" w:hAnsi="Calibri" w:cs="Times New Roman"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9">
    <w:nsid w:val="2F4A729F"/>
    <w:multiLevelType w:val="hybridMultilevel"/>
    <w:tmpl w:val="38B28D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nsid w:val="3E726BD8"/>
    <w:multiLevelType w:val="hybridMultilevel"/>
    <w:tmpl w:val="0DA0008E"/>
    <w:lvl w:ilvl="0" w:tplc="F7681280">
      <w:start w:val="1"/>
      <w:numFmt w:val="decimal"/>
      <w:lvlText w:val="%1."/>
      <w:lvlJc w:val="left"/>
      <w:pPr>
        <w:ind w:left="360" w:hanging="360"/>
      </w:pPr>
      <w:rPr>
        <w:rFonts w:ascii="Arial Unicode MS" w:eastAsia="Arial Unicode MS" w:hAnsi="Arial Unicode MS" w:hint="eastAsia"/>
        <w:b w:val="0"/>
        <w:i w:val="0"/>
        <w:color w:val="auto"/>
        <w:sz w:val="19"/>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nsid w:val="548367C4"/>
    <w:multiLevelType w:val="hybridMultilevel"/>
    <w:tmpl w:val="9BAEF876"/>
    <w:lvl w:ilvl="0" w:tplc="9FE2228E">
      <w:start w:val="2"/>
      <w:numFmt w:val="bullet"/>
      <w:lvlText w:val="-"/>
      <w:lvlJc w:val="left"/>
      <w:pPr>
        <w:ind w:left="720" w:hanging="360"/>
      </w:pPr>
      <w:rPr>
        <w:rFonts w:ascii="Calibri" w:eastAsia="Times New Roman" w:hAnsi="Calibri"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5C3F349A"/>
    <w:multiLevelType w:val="hybridMultilevel"/>
    <w:tmpl w:val="D7546370"/>
    <w:lvl w:ilvl="0" w:tplc="14090001">
      <w:start w:val="9"/>
      <w:numFmt w:val="bullet"/>
      <w:lvlText w:val=""/>
      <w:lvlJc w:val="left"/>
      <w:pPr>
        <w:ind w:left="360" w:hanging="360"/>
      </w:pPr>
      <w:rPr>
        <w:rFonts w:ascii="Symbol" w:eastAsia="Times New Roman" w:hAnsi="Symbol" w:cs="Times New Roman"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nsid w:val="657D3FCA"/>
    <w:multiLevelType w:val="hybridMultilevel"/>
    <w:tmpl w:val="D1846D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710937CB"/>
    <w:multiLevelType w:val="hybridMultilevel"/>
    <w:tmpl w:val="353CC0FA"/>
    <w:lvl w:ilvl="0" w:tplc="9708B4C2">
      <w:start w:val="15"/>
      <w:numFmt w:val="bullet"/>
      <w:lvlText w:val="-"/>
      <w:lvlJc w:val="left"/>
      <w:pPr>
        <w:ind w:left="360" w:hanging="360"/>
      </w:pPr>
      <w:rPr>
        <w:rFonts w:ascii="Calibri" w:eastAsia="Times New Roman" w:hAnsi="Calibri" w:cs="Times New Roman"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nsid w:val="72CA7EA4"/>
    <w:multiLevelType w:val="hybridMultilevel"/>
    <w:tmpl w:val="3510F26C"/>
    <w:lvl w:ilvl="0" w:tplc="4BD46068">
      <w:start w:val="1"/>
      <w:numFmt w:val="bullet"/>
      <w:lvlText w:val=""/>
      <w:lvlJc w:val="left"/>
      <w:pPr>
        <w:ind w:left="360" w:hanging="360"/>
      </w:pPr>
      <w:rPr>
        <w:rFonts w:ascii="Symbol" w:eastAsia="Times New Roman" w:hAnsi="Symbo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nsid w:val="731E0AB8"/>
    <w:multiLevelType w:val="hybridMultilevel"/>
    <w:tmpl w:val="E32A4DC8"/>
    <w:lvl w:ilvl="0" w:tplc="14090001">
      <w:start w:val="1"/>
      <w:numFmt w:val="bullet"/>
      <w:lvlText w:val=""/>
      <w:lvlJc w:val="left"/>
      <w:pPr>
        <w:ind w:left="360" w:hanging="360"/>
      </w:pPr>
      <w:rPr>
        <w:rFonts w:ascii="Symbol" w:hAnsi="Symbol" w:hint="default"/>
        <w:b w:val="0"/>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nsid w:val="739316DA"/>
    <w:multiLevelType w:val="hybridMultilevel"/>
    <w:tmpl w:val="FAB0CA94"/>
    <w:lvl w:ilvl="0" w:tplc="62306966">
      <w:start w:val="16"/>
      <w:numFmt w:val="bullet"/>
      <w:lvlText w:val=""/>
      <w:lvlJc w:val="left"/>
      <w:pPr>
        <w:ind w:left="360" w:hanging="360"/>
      </w:pPr>
      <w:rPr>
        <w:rFonts w:ascii="Symbol" w:eastAsia="Arial Unicode MS" w:hAnsi="Symbol" w:cs="Arial Unicode M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nsid w:val="77D57B64"/>
    <w:multiLevelType w:val="hybridMultilevel"/>
    <w:tmpl w:val="E2AA159C"/>
    <w:lvl w:ilvl="0" w:tplc="4BD46068">
      <w:start w:val="1"/>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7CB61EFF"/>
    <w:multiLevelType w:val="hybridMultilevel"/>
    <w:tmpl w:val="905E0B70"/>
    <w:lvl w:ilvl="0" w:tplc="7410FC76">
      <w:start w:val="4"/>
      <w:numFmt w:val="bullet"/>
      <w:lvlText w:val="-"/>
      <w:lvlJc w:val="left"/>
      <w:pPr>
        <w:ind w:left="360" w:hanging="360"/>
      </w:pPr>
      <w:rPr>
        <w:rFonts w:ascii="Calibri" w:eastAsia="Times New Roman" w:hAnsi="Calibri" w:cs="Tahom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5"/>
  </w:num>
  <w:num w:numId="2">
    <w:abstractNumId w:val="14"/>
  </w:num>
  <w:num w:numId="3">
    <w:abstractNumId w:val="1"/>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3"/>
  </w:num>
  <w:num w:numId="9">
    <w:abstractNumId w:val="19"/>
  </w:num>
  <w:num w:numId="10">
    <w:abstractNumId w:val="13"/>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6"/>
  </w:num>
  <w:num w:numId="14">
    <w:abstractNumId w:val="0"/>
  </w:num>
  <w:num w:numId="15">
    <w:abstractNumId w:val="5"/>
  </w:num>
  <w:num w:numId="16">
    <w:abstractNumId w:val="18"/>
  </w:num>
  <w:num w:numId="17">
    <w:abstractNumId w:val="17"/>
  </w:num>
  <w:num w:numId="18">
    <w:abstractNumId w:val="9"/>
  </w:num>
  <w:num w:numId="19">
    <w:abstractNumId w:val="7"/>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raftStamp" w:val="1"/>
  </w:docVars>
  <w:rsids>
    <w:rsidRoot w:val="00010A05"/>
    <w:rsid w:val="00010A05"/>
    <w:rsid w:val="00011B63"/>
    <w:rsid w:val="000145C5"/>
    <w:rsid w:val="0002239F"/>
    <w:rsid w:val="00035ADD"/>
    <w:rsid w:val="00042F7E"/>
    <w:rsid w:val="0004382B"/>
    <w:rsid w:val="000554A7"/>
    <w:rsid w:val="00056A4A"/>
    <w:rsid w:val="0006023C"/>
    <w:rsid w:val="00060CCD"/>
    <w:rsid w:val="00064E85"/>
    <w:rsid w:val="00066FC1"/>
    <w:rsid w:val="00071B25"/>
    <w:rsid w:val="000768B9"/>
    <w:rsid w:val="00080B4B"/>
    <w:rsid w:val="00080ECD"/>
    <w:rsid w:val="00087635"/>
    <w:rsid w:val="00090DCE"/>
    <w:rsid w:val="000A1DFD"/>
    <w:rsid w:val="000A47B1"/>
    <w:rsid w:val="000B0478"/>
    <w:rsid w:val="000B5720"/>
    <w:rsid w:val="000B6C7D"/>
    <w:rsid w:val="000C4D14"/>
    <w:rsid w:val="000C77A4"/>
    <w:rsid w:val="000D1CE7"/>
    <w:rsid w:val="000D601D"/>
    <w:rsid w:val="000E0E9B"/>
    <w:rsid w:val="000E315B"/>
    <w:rsid w:val="000E412D"/>
    <w:rsid w:val="000F00D5"/>
    <w:rsid w:val="00102AB0"/>
    <w:rsid w:val="00114CD5"/>
    <w:rsid w:val="001254DE"/>
    <w:rsid w:val="00131D6A"/>
    <w:rsid w:val="00132CB5"/>
    <w:rsid w:val="0013371B"/>
    <w:rsid w:val="0015412E"/>
    <w:rsid w:val="001555DB"/>
    <w:rsid w:val="0015596C"/>
    <w:rsid w:val="00160188"/>
    <w:rsid w:val="001706E0"/>
    <w:rsid w:val="00170CC9"/>
    <w:rsid w:val="00173FA5"/>
    <w:rsid w:val="001742EE"/>
    <w:rsid w:val="00176832"/>
    <w:rsid w:val="00183555"/>
    <w:rsid w:val="00190D17"/>
    <w:rsid w:val="001A0B08"/>
    <w:rsid w:val="001B52EC"/>
    <w:rsid w:val="001B5CEA"/>
    <w:rsid w:val="001C039B"/>
    <w:rsid w:val="001C6587"/>
    <w:rsid w:val="001D092C"/>
    <w:rsid w:val="001D0B4A"/>
    <w:rsid w:val="001D16F5"/>
    <w:rsid w:val="001D2802"/>
    <w:rsid w:val="001D4C20"/>
    <w:rsid w:val="001D5912"/>
    <w:rsid w:val="001D7617"/>
    <w:rsid w:val="001E1432"/>
    <w:rsid w:val="001E61CE"/>
    <w:rsid w:val="001E6753"/>
    <w:rsid w:val="00200261"/>
    <w:rsid w:val="00203703"/>
    <w:rsid w:val="002050F6"/>
    <w:rsid w:val="002072C2"/>
    <w:rsid w:val="002113FA"/>
    <w:rsid w:val="002114D5"/>
    <w:rsid w:val="00215EE0"/>
    <w:rsid w:val="00221BAA"/>
    <w:rsid w:val="00222189"/>
    <w:rsid w:val="0022393C"/>
    <w:rsid w:val="002271A6"/>
    <w:rsid w:val="00232438"/>
    <w:rsid w:val="00242E9D"/>
    <w:rsid w:val="002629A3"/>
    <w:rsid w:val="00265A7E"/>
    <w:rsid w:val="0027099F"/>
    <w:rsid w:val="00272316"/>
    <w:rsid w:val="0028075A"/>
    <w:rsid w:val="002828F5"/>
    <w:rsid w:val="00284769"/>
    <w:rsid w:val="00285B14"/>
    <w:rsid w:val="00290806"/>
    <w:rsid w:val="00290884"/>
    <w:rsid w:val="002910C1"/>
    <w:rsid w:val="002918EA"/>
    <w:rsid w:val="002940BB"/>
    <w:rsid w:val="00295556"/>
    <w:rsid w:val="00296745"/>
    <w:rsid w:val="00296D46"/>
    <w:rsid w:val="002A1557"/>
    <w:rsid w:val="002A1BBD"/>
    <w:rsid w:val="002A3EC9"/>
    <w:rsid w:val="002A52A5"/>
    <w:rsid w:val="002A6DC7"/>
    <w:rsid w:val="002A7517"/>
    <w:rsid w:val="002A7E80"/>
    <w:rsid w:val="002B720B"/>
    <w:rsid w:val="002C0184"/>
    <w:rsid w:val="002C1F1F"/>
    <w:rsid w:val="002C2500"/>
    <w:rsid w:val="002C5EDC"/>
    <w:rsid w:val="002C606D"/>
    <w:rsid w:val="002D086C"/>
    <w:rsid w:val="002E034F"/>
    <w:rsid w:val="002E3949"/>
    <w:rsid w:val="002E46FB"/>
    <w:rsid w:val="002E5E84"/>
    <w:rsid w:val="002E76BF"/>
    <w:rsid w:val="002F1D58"/>
    <w:rsid w:val="002F65D6"/>
    <w:rsid w:val="002F7BED"/>
    <w:rsid w:val="00301C7F"/>
    <w:rsid w:val="00303B72"/>
    <w:rsid w:val="00306012"/>
    <w:rsid w:val="00306FAB"/>
    <w:rsid w:val="00311298"/>
    <w:rsid w:val="00312FCD"/>
    <w:rsid w:val="003150AE"/>
    <w:rsid w:val="00315671"/>
    <w:rsid w:val="00321019"/>
    <w:rsid w:val="00321E0A"/>
    <w:rsid w:val="003222FE"/>
    <w:rsid w:val="0032462E"/>
    <w:rsid w:val="00336FDF"/>
    <w:rsid w:val="00336FEF"/>
    <w:rsid w:val="0034296D"/>
    <w:rsid w:val="00342E0F"/>
    <w:rsid w:val="003444D8"/>
    <w:rsid w:val="00346228"/>
    <w:rsid w:val="0034733E"/>
    <w:rsid w:val="00351189"/>
    <w:rsid w:val="0035185B"/>
    <w:rsid w:val="00356EB3"/>
    <w:rsid w:val="003704EE"/>
    <w:rsid w:val="00371EB7"/>
    <w:rsid w:val="00373BE8"/>
    <w:rsid w:val="00373C76"/>
    <w:rsid w:val="00377C24"/>
    <w:rsid w:val="00386527"/>
    <w:rsid w:val="003942C2"/>
    <w:rsid w:val="00396298"/>
    <w:rsid w:val="003A1650"/>
    <w:rsid w:val="003B00CF"/>
    <w:rsid w:val="003B1228"/>
    <w:rsid w:val="003B4C68"/>
    <w:rsid w:val="003B64C4"/>
    <w:rsid w:val="003B7A4F"/>
    <w:rsid w:val="003C646B"/>
    <w:rsid w:val="003C6F33"/>
    <w:rsid w:val="003D31AD"/>
    <w:rsid w:val="003D72FF"/>
    <w:rsid w:val="003D7945"/>
    <w:rsid w:val="003E0450"/>
    <w:rsid w:val="003F6AB4"/>
    <w:rsid w:val="00400042"/>
    <w:rsid w:val="00401197"/>
    <w:rsid w:val="004011FE"/>
    <w:rsid w:val="00402C87"/>
    <w:rsid w:val="00410D76"/>
    <w:rsid w:val="004149B0"/>
    <w:rsid w:val="004166D9"/>
    <w:rsid w:val="004171C9"/>
    <w:rsid w:val="00431D18"/>
    <w:rsid w:val="00431EAD"/>
    <w:rsid w:val="00443021"/>
    <w:rsid w:val="00444863"/>
    <w:rsid w:val="00444E68"/>
    <w:rsid w:val="0045011F"/>
    <w:rsid w:val="004519A7"/>
    <w:rsid w:val="0046268B"/>
    <w:rsid w:val="00464208"/>
    <w:rsid w:val="00464771"/>
    <w:rsid w:val="00465F7B"/>
    <w:rsid w:val="00471B45"/>
    <w:rsid w:val="004723C2"/>
    <w:rsid w:val="00486283"/>
    <w:rsid w:val="00486867"/>
    <w:rsid w:val="00490263"/>
    <w:rsid w:val="004918D3"/>
    <w:rsid w:val="00493840"/>
    <w:rsid w:val="00496152"/>
    <w:rsid w:val="004968D0"/>
    <w:rsid w:val="00496E03"/>
    <w:rsid w:val="004A1881"/>
    <w:rsid w:val="004A6405"/>
    <w:rsid w:val="004B0DA9"/>
    <w:rsid w:val="004B2C38"/>
    <w:rsid w:val="004B35B8"/>
    <w:rsid w:val="004B71A0"/>
    <w:rsid w:val="004C1C0F"/>
    <w:rsid w:val="004C3179"/>
    <w:rsid w:val="004D1095"/>
    <w:rsid w:val="004E0CCF"/>
    <w:rsid w:val="004E1DA0"/>
    <w:rsid w:val="004E2775"/>
    <w:rsid w:val="004E29BF"/>
    <w:rsid w:val="004F1AA8"/>
    <w:rsid w:val="004F2747"/>
    <w:rsid w:val="004F309D"/>
    <w:rsid w:val="004F7A83"/>
    <w:rsid w:val="0050022A"/>
    <w:rsid w:val="00501EC2"/>
    <w:rsid w:val="00501F3D"/>
    <w:rsid w:val="005044FA"/>
    <w:rsid w:val="00512088"/>
    <w:rsid w:val="00512918"/>
    <w:rsid w:val="00513B27"/>
    <w:rsid w:val="00515BEE"/>
    <w:rsid w:val="00517BFD"/>
    <w:rsid w:val="00524126"/>
    <w:rsid w:val="00525452"/>
    <w:rsid w:val="00531436"/>
    <w:rsid w:val="00534DA3"/>
    <w:rsid w:val="0055108E"/>
    <w:rsid w:val="005560BA"/>
    <w:rsid w:val="00557073"/>
    <w:rsid w:val="00562776"/>
    <w:rsid w:val="00570DD1"/>
    <w:rsid w:val="00581257"/>
    <w:rsid w:val="00590E09"/>
    <w:rsid w:val="005A0E67"/>
    <w:rsid w:val="005A483B"/>
    <w:rsid w:val="005B6181"/>
    <w:rsid w:val="005B7349"/>
    <w:rsid w:val="005C23DD"/>
    <w:rsid w:val="005D0895"/>
    <w:rsid w:val="005D0F53"/>
    <w:rsid w:val="005D1905"/>
    <w:rsid w:val="005D1C21"/>
    <w:rsid w:val="005D5E2F"/>
    <w:rsid w:val="005D778C"/>
    <w:rsid w:val="005D7EEF"/>
    <w:rsid w:val="005E29E4"/>
    <w:rsid w:val="005E4AAF"/>
    <w:rsid w:val="005F2F23"/>
    <w:rsid w:val="005F3BF7"/>
    <w:rsid w:val="00603273"/>
    <w:rsid w:val="006102CA"/>
    <w:rsid w:val="00611706"/>
    <w:rsid w:val="00614F24"/>
    <w:rsid w:val="0062565C"/>
    <w:rsid w:val="00625D43"/>
    <w:rsid w:val="0063045D"/>
    <w:rsid w:val="006402E7"/>
    <w:rsid w:val="00644A49"/>
    <w:rsid w:val="0064761B"/>
    <w:rsid w:val="00651D27"/>
    <w:rsid w:val="0065588F"/>
    <w:rsid w:val="0066166E"/>
    <w:rsid w:val="00661A21"/>
    <w:rsid w:val="00662CEC"/>
    <w:rsid w:val="00665AAC"/>
    <w:rsid w:val="00673CEB"/>
    <w:rsid w:val="00684764"/>
    <w:rsid w:val="0068609D"/>
    <w:rsid w:val="00686D57"/>
    <w:rsid w:val="0068712E"/>
    <w:rsid w:val="00687372"/>
    <w:rsid w:val="00695214"/>
    <w:rsid w:val="006955DF"/>
    <w:rsid w:val="00695BC3"/>
    <w:rsid w:val="006965D9"/>
    <w:rsid w:val="006B13DA"/>
    <w:rsid w:val="006C58BB"/>
    <w:rsid w:val="006C737B"/>
    <w:rsid w:val="006D4367"/>
    <w:rsid w:val="006D4B53"/>
    <w:rsid w:val="006D6DB4"/>
    <w:rsid w:val="006D6EBC"/>
    <w:rsid w:val="006E6445"/>
    <w:rsid w:val="006E72A1"/>
    <w:rsid w:val="006F0741"/>
    <w:rsid w:val="006F0D75"/>
    <w:rsid w:val="007032F2"/>
    <w:rsid w:val="00703545"/>
    <w:rsid w:val="00704526"/>
    <w:rsid w:val="0070551B"/>
    <w:rsid w:val="00715485"/>
    <w:rsid w:val="00716186"/>
    <w:rsid w:val="0072447E"/>
    <w:rsid w:val="00732F44"/>
    <w:rsid w:val="0074163E"/>
    <w:rsid w:val="00751627"/>
    <w:rsid w:val="00751A0E"/>
    <w:rsid w:val="007524A9"/>
    <w:rsid w:val="007539CF"/>
    <w:rsid w:val="007542C8"/>
    <w:rsid w:val="0076595A"/>
    <w:rsid w:val="00770C1C"/>
    <w:rsid w:val="00772748"/>
    <w:rsid w:val="007741C8"/>
    <w:rsid w:val="00775C69"/>
    <w:rsid w:val="00780F52"/>
    <w:rsid w:val="00783AA8"/>
    <w:rsid w:val="00785610"/>
    <w:rsid w:val="00786D86"/>
    <w:rsid w:val="007964DF"/>
    <w:rsid w:val="007A00FC"/>
    <w:rsid w:val="007A02AA"/>
    <w:rsid w:val="007A3071"/>
    <w:rsid w:val="007A65D5"/>
    <w:rsid w:val="007A6AF6"/>
    <w:rsid w:val="007A7659"/>
    <w:rsid w:val="007B003C"/>
    <w:rsid w:val="007B0BF6"/>
    <w:rsid w:val="007B1FB9"/>
    <w:rsid w:val="007B46AF"/>
    <w:rsid w:val="007B51A3"/>
    <w:rsid w:val="007B5D18"/>
    <w:rsid w:val="007C28A0"/>
    <w:rsid w:val="007C458C"/>
    <w:rsid w:val="007D24C8"/>
    <w:rsid w:val="007E59C0"/>
    <w:rsid w:val="007E5D02"/>
    <w:rsid w:val="007E7EB2"/>
    <w:rsid w:val="007F28B4"/>
    <w:rsid w:val="007F53DD"/>
    <w:rsid w:val="008031EA"/>
    <w:rsid w:val="00803483"/>
    <w:rsid w:val="00803D08"/>
    <w:rsid w:val="00812F7F"/>
    <w:rsid w:val="00813DA8"/>
    <w:rsid w:val="00813FC7"/>
    <w:rsid w:val="00816CAA"/>
    <w:rsid w:val="008173C3"/>
    <w:rsid w:val="00822EE5"/>
    <w:rsid w:val="0082692A"/>
    <w:rsid w:val="008309D2"/>
    <w:rsid w:val="00836134"/>
    <w:rsid w:val="008408D9"/>
    <w:rsid w:val="008423AA"/>
    <w:rsid w:val="0085628D"/>
    <w:rsid w:val="008579E4"/>
    <w:rsid w:val="008614E9"/>
    <w:rsid w:val="00861B39"/>
    <w:rsid w:val="00862155"/>
    <w:rsid w:val="008630E4"/>
    <w:rsid w:val="0086714A"/>
    <w:rsid w:val="008707EB"/>
    <w:rsid w:val="00874AE1"/>
    <w:rsid w:val="00875EA7"/>
    <w:rsid w:val="0087711C"/>
    <w:rsid w:val="0088404E"/>
    <w:rsid w:val="008970AC"/>
    <w:rsid w:val="008A319D"/>
    <w:rsid w:val="008A5DCD"/>
    <w:rsid w:val="008A65FF"/>
    <w:rsid w:val="008A6EB5"/>
    <w:rsid w:val="008B5E00"/>
    <w:rsid w:val="008B66E6"/>
    <w:rsid w:val="008C06B0"/>
    <w:rsid w:val="008C1FCE"/>
    <w:rsid w:val="008C2136"/>
    <w:rsid w:val="008C31FE"/>
    <w:rsid w:val="008C5E3D"/>
    <w:rsid w:val="008C5F08"/>
    <w:rsid w:val="008C76CF"/>
    <w:rsid w:val="008D0BFC"/>
    <w:rsid w:val="008D3A1C"/>
    <w:rsid w:val="008D69E5"/>
    <w:rsid w:val="008D6DB6"/>
    <w:rsid w:val="008E65BA"/>
    <w:rsid w:val="008E735D"/>
    <w:rsid w:val="008F4A55"/>
    <w:rsid w:val="00900D35"/>
    <w:rsid w:val="00901C32"/>
    <w:rsid w:val="0090565E"/>
    <w:rsid w:val="00922322"/>
    <w:rsid w:val="009224B2"/>
    <w:rsid w:val="00923CE0"/>
    <w:rsid w:val="009255ED"/>
    <w:rsid w:val="0092645D"/>
    <w:rsid w:val="009276E6"/>
    <w:rsid w:val="0093360F"/>
    <w:rsid w:val="00934A6C"/>
    <w:rsid w:val="00935866"/>
    <w:rsid w:val="0093720C"/>
    <w:rsid w:val="009557B8"/>
    <w:rsid w:val="00956FD1"/>
    <w:rsid w:val="00957378"/>
    <w:rsid w:val="00974703"/>
    <w:rsid w:val="0097754C"/>
    <w:rsid w:val="009807B8"/>
    <w:rsid w:val="00983430"/>
    <w:rsid w:val="00983F41"/>
    <w:rsid w:val="009918E5"/>
    <w:rsid w:val="00995874"/>
    <w:rsid w:val="00995DCA"/>
    <w:rsid w:val="00996745"/>
    <w:rsid w:val="009A023F"/>
    <w:rsid w:val="009A4AE4"/>
    <w:rsid w:val="009A5A55"/>
    <w:rsid w:val="009B7E13"/>
    <w:rsid w:val="009C19B4"/>
    <w:rsid w:val="009C41F6"/>
    <w:rsid w:val="009C7853"/>
    <w:rsid w:val="009D1E06"/>
    <w:rsid w:val="009D4E94"/>
    <w:rsid w:val="009D5424"/>
    <w:rsid w:val="009E1781"/>
    <w:rsid w:val="009E1BD0"/>
    <w:rsid w:val="009F0743"/>
    <w:rsid w:val="009F1864"/>
    <w:rsid w:val="009F48DF"/>
    <w:rsid w:val="00A0256B"/>
    <w:rsid w:val="00A03475"/>
    <w:rsid w:val="00A03549"/>
    <w:rsid w:val="00A03AC6"/>
    <w:rsid w:val="00A03E9C"/>
    <w:rsid w:val="00A03EDC"/>
    <w:rsid w:val="00A062A7"/>
    <w:rsid w:val="00A13D17"/>
    <w:rsid w:val="00A159D1"/>
    <w:rsid w:val="00A15E96"/>
    <w:rsid w:val="00A17A9E"/>
    <w:rsid w:val="00A2153D"/>
    <w:rsid w:val="00A45CB9"/>
    <w:rsid w:val="00A464D9"/>
    <w:rsid w:val="00A50660"/>
    <w:rsid w:val="00A572B5"/>
    <w:rsid w:val="00A70A6D"/>
    <w:rsid w:val="00A73F06"/>
    <w:rsid w:val="00A771CB"/>
    <w:rsid w:val="00A8422A"/>
    <w:rsid w:val="00A8706A"/>
    <w:rsid w:val="00A91AC1"/>
    <w:rsid w:val="00A957B4"/>
    <w:rsid w:val="00A97C5A"/>
    <w:rsid w:val="00AA160A"/>
    <w:rsid w:val="00AA5A0F"/>
    <w:rsid w:val="00AA6EB8"/>
    <w:rsid w:val="00AA7565"/>
    <w:rsid w:val="00AA765F"/>
    <w:rsid w:val="00AB243D"/>
    <w:rsid w:val="00AB56E0"/>
    <w:rsid w:val="00AB6502"/>
    <w:rsid w:val="00AC3265"/>
    <w:rsid w:val="00AC69E0"/>
    <w:rsid w:val="00AC73A8"/>
    <w:rsid w:val="00AC7659"/>
    <w:rsid w:val="00AC7C15"/>
    <w:rsid w:val="00AD0714"/>
    <w:rsid w:val="00AD0E7E"/>
    <w:rsid w:val="00AD2C61"/>
    <w:rsid w:val="00AD7C98"/>
    <w:rsid w:val="00AE5A00"/>
    <w:rsid w:val="00AE633C"/>
    <w:rsid w:val="00AE79E0"/>
    <w:rsid w:val="00AF049A"/>
    <w:rsid w:val="00AF3EF7"/>
    <w:rsid w:val="00AF7BB4"/>
    <w:rsid w:val="00B00A66"/>
    <w:rsid w:val="00B041F1"/>
    <w:rsid w:val="00B066E1"/>
    <w:rsid w:val="00B07593"/>
    <w:rsid w:val="00B10E60"/>
    <w:rsid w:val="00B11A42"/>
    <w:rsid w:val="00B17545"/>
    <w:rsid w:val="00B20C10"/>
    <w:rsid w:val="00B21C9F"/>
    <w:rsid w:val="00B313D8"/>
    <w:rsid w:val="00B340BA"/>
    <w:rsid w:val="00B370A6"/>
    <w:rsid w:val="00B37CED"/>
    <w:rsid w:val="00B40F99"/>
    <w:rsid w:val="00B465B0"/>
    <w:rsid w:val="00B57E3C"/>
    <w:rsid w:val="00B6355C"/>
    <w:rsid w:val="00B67DD0"/>
    <w:rsid w:val="00B70F7B"/>
    <w:rsid w:val="00B71B7D"/>
    <w:rsid w:val="00B757E2"/>
    <w:rsid w:val="00B87991"/>
    <w:rsid w:val="00B947E6"/>
    <w:rsid w:val="00B948E8"/>
    <w:rsid w:val="00B94FE6"/>
    <w:rsid w:val="00B96082"/>
    <w:rsid w:val="00BA294E"/>
    <w:rsid w:val="00BB0A75"/>
    <w:rsid w:val="00BB2C57"/>
    <w:rsid w:val="00BB31EF"/>
    <w:rsid w:val="00BB58BB"/>
    <w:rsid w:val="00BD41F6"/>
    <w:rsid w:val="00BD76C9"/>
    <w:rsid w:val="00BE10C7"/>
    <w:rsid w:val="00BE1AEE"/>
    <w:rsid w:val="00BE44E0"/>
    <w:rsid w:val="00BF331F"/>
    <w:rsid w:val="00BF6D07"/>
    <w:rsid w:val="00BF75AA"/>
    <w:rsid w:val="00C0342D"/>
    <w:rsid w:val="00C16469"/>
    <w:rsid w:val="00C166B7"/>
    <w:rsid w:val="00C21F0B"/>
    <w:rsid w:val="00C24FFC"/>
    <w:rsid w:val="00C31B8F"/>
    <w:rsid w:val="00C32935"/>
    <w:rsid w:val="00C33A31"/>
    <w:rsid w:val="00C43856"/>
    <w:rsid w:val="00C44B69"/>
    <w:rsid w:val="00C46870"/>
    <w:rsid w:val="00C53627"/>
    <w:rsid w:val="00C5592C"/>
    <w:rsid w:val="00C57130"/>
    <w:rsid w:val="00C57A7A"/>
    <w:rsid w:val="00C60A27"/>
    <w:rsid w:val="00C61493"/>
    <w:rsid w:val="00C64F7C"/>
    <w:rsid w:val="00C701D4"/>
    <w:rsid w:val="00C72414"/>
    <w:rsid w:val="00C77F1E"/>
    <w:rsid w:val="00C85EDC"/>
    <w:rsid w:val="00C917DC"/>
    <w:rsid w:val="00C93633"/>
    <w:rsid w:val="00CA0B9A"/>
    <w:rsid w:val="00CA5396"/>
    <w:rsid w:val="00CB1BCB"/>
    <w:rsid w:val="00CB5543"/>
    <w:rsid w:val="00CB6179"/>
    <w:rsid w:val="00CB7D60"/>
    <w:rsid w:val="00CC08B9"/>
    <w:rsid w:val="00CC2AB8"/>
    <w:rsid w:val="00CC2B8F"/>
    <w:rsid w:val="00CD54CC"/>
    <w:rsid w:val="00CE00BB"/>
    <w:rsid w:val="00CE07A2"/>
    <w:rsid w:val="00CE0B45"/>
    <w:rsid w:val="00CE1C7A"/>
    <w:rsid w:val="00CF1C78"/>
    <w:rsid w:val="00CF3208"/>
    <w:rsid w:val="00CF7196"/>
    <w:rsid w:val="00D01908"/>
    <w:rsid w:val="00D04EC5"/>
    <w:rsid w:val="00D06CBB"/>
    <w:rsid w:val="00D0740D"/>
    <w:rsid w:val="00D25480"/>
    <w:rsid w:val="00D3403C"/>
    <w:rsid w:val="00D345E9"/>
    <w:rsid w:val="00D35E1A"/>
    <w:rsid w:val="00D37509"/>
    <w:rsid w:val="00D43F35"/>
    <w:rsid w:val="00D44217"/>
    <w:rsid w:val="00D5351E"/>
    <w:rsid w:val="00D576BA"/>
    <w:rsid w:val="00D64F3D"/>
    <w:rsid w:val="00D66CBB"/>
    <w:rsid w:val="00D66D98"/>
    <w:rsid w:val="00D73216"/>
    <w:rsid w:val="00D7321C"/>
    <w:rsid w:val="00D7360F"/>
    <w:rsid w:val="00D74137"/>
    <w:rsid w:val="00D74910"/>
    <w:rsid w:val="00D75966"/>
    <w:rsid w:val="00D772EE"/>
    <w:rsid w:val="00D8120A"/>
    <w:rsid w:val="00D830F9"/>
    <w:rsid w:val="00D836BA"/>
    <w:rsid w:val="00D93061"/>
    <w:rsid w:val="00D95097"/>
    <w:rsid w:val="00DA79C9"/>
    <w:rsid w:val="00DB1BF3"/>
    <w:rsid w:val="00DC3349"/>
    <w:rsid w:val="00DC48DF"/>
    <w:rsid w:val="00DC7C34"/>
    <w:rsid w:val="00DD4E39"/>
    <w:rsid w:val="00DD5548"/>
    <w:rsid w:val="00DD7E19"/>
    <w:rsid w:val="00DE4C3F"/>
    <w:rsid w:val="00DE608D"/>
    <w:rsid w:val="00DF1227"/>
    <w:rsid w:val="00DF3A9B"/>
    <w:rsid w:val="00DF3C27"/>
    <w:rsid w:val="00E0142D"/>
    <w:rsid w:val="00E02D0B"/>
    <w:rsid w:val="00E079E3"/>
    <w:rsid w:val="00E10842"/>
    <w:rsid w:val="00E11369"/>
    <w:rsid w:val="00E14AC1"/>
    <w:rsid w:val="00E150D8"/>
    <w:rsid w:val="00E168D4"/>
    <w:rsid w:val="00E16958"/>
    <w:rsid w:val="00E240E1"/>
    <w:rsid w:val="00E364F5"/>
    <w:rsid w:val="00E43143"/>
    <w:rsid w:val="00E56A19"/>
    <w:rsid w:val="00E57342"/>
    <w:rsid w:val="00E574F5"/>
    <w:rsid w:val="00E62800"/>
    <w:rsid w:val="00E74724"/>
    <w:rsid w:val="00E80EF3"/>
    <w:rsid w:val="00E810EE"/>
    <w:rsid w:val="00E83708"/>
    <w:rsid w:val="00E90A8B"/>
    <w:rsid w:val="00E961D9"/>
    <w:rsid w:val="00EA0E2A"/>
    <w:rsid w:val="00EA5122"/>
    <w:rsid w:val="00EA6781"/>
    <w:rsid w:val="00EB00FE"/>
    <w:rsid w:val="00EB675F"/>
    <w:rsid w:val="00EC0A74"/>
    <w:rsid w:val="00EC200F"/>
    <w:rsid w:val="00EC2C5C"/>
    <w:rsid w:val="00EE1C08"/>
    <w:rsid w:val="00EE35E1"/>
    <w:rsid w:val="00EF1AA7"/>
    <w:rsid w:val="00EF22AC"/>
    <w:rsid w:val="00EF3761"/>
    <w:rsid w:val="00EF4038"/>
    <w:rsid w:val="00EF724E"/>
    <w:rsid w:val="00F04AAE"/>
    <w:rsid w:val="00F04D06"/>
    <w:rsid w:val="00F050CC"/>
    <w:rsid w:val="00F065A2"/>
    <w:rsid w:val="00F10268"/>
    <w:rsid w:val="00F11EEE"/>
    <w:rsid w:val="00F14F93"/>
    <w:rsid w:val="00F171C6"/>
    <w:rsid w:val="00F23388"/>
    <w:rsid w:val="00F3135F"/>
    <w:rsid w:val="00F3556F"/>
    <w:rsid w:val="00F46CA8"/>
    <w:rsid w:val="00F52AE8"/>
    <w:rsid w:val="00F53033"/>
    <w:rsid w:val="00F60EE0"/>
    <w:rsid w:val="00F61908"/>
    <w:rsid w:val="00F63E78"/>
    <w:rsid w:val="00F66684"/>
    <w:rsid w:val="00F67588"/>
    <w:rsid w:val="00F70BF8"/>
    <w:rsid w:val="00F73617"/>
    <w:rsid w:val="00F744C7"/>
    <w:rsid w:val="00F76EB0"/>
    <w:rsid w:val="00F81E8B"/>
    <w:rsid w:val="00F82028"/>
    <w:rsid w:val="00F908CC"/>
    <w:rsid w:val="00F90DF1"/>
    <w:rsid w:val="00F95802"/>
    <w:rsid w:val="00FA08E9"/>
    <w:rsid w:val="00FA233C"/>
    <w:rsid w:val="00FA321F"/>
    <w:rsid w:val="00FE0EC3"/>
    <w:rsid w:val="00FE245E"/>
    <w:rsid w:val="00FE5D99"/>
    <w:rsid w:val="00FF1883"/>
    <w:rsid w:val="00FF1AA2"/>
    <w:rsid w:val="00FF2D50"/>
    <w:rsid w:val="00FF39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A0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150D8"/>
    <w:rPr>
      <w:rFonts w:ascii="Tahoma" w:hAnsi="Tahoma" w:cs="Tahoma"/>
      <w:sz w:val="16"/>
      <w:szCs w:val="16"/>
    </w:rPr>
  </w:style>
  <w:style w:type="character" w:styleId="PageNumber">
    <w:name w:val="page number"/>
    <w:basedOn w:val="DefaultParagraphFont"/>
    <w:rsid w:val="00F10268"/>
  </w:style>
  <w:style w:type="paragraph" w:customStyle="1" w:styleId="WHANAUORA">
    <w:name w:val="WHANAU ORA"/>
    <w:basedOn w:val="Normal"/>
    <w:qFormat/>
    <w:rsid w:val="00232438"/>
    <w:pPr>
      <w:widowControl w:val="0"/>
      <w:suppressAutoHyphens/>
      <w:autoSpaceDE w:val="0"/>
      <w:autoSpaceDN w:val="0"/>
      <w:adjustRightInd w:val="0"/>
      <w:spacing w:after="737" w:line="264" w:lineRule="auto"/>
      <w:textAlignment w:val="center"/>
    </w:pPr>
    <w:rPr>
      <w:rFonts w:ascii="Arial Unicode MS" w:eastAsia="Arial Unicode MS" w:hAnsi="Arial Unicode MS" w:cs="Gothic720BT-RomanB"/>
      <w:bCs/>
      <w:color w:val="7BC142"/>
      <w:spacing w:val="-10"/>
      <w:sz w:val="64"/>
      <w:szCs w:val="48"/>
      <w:lang w:val="en-US"/>
    </w:rPr>
  </w:style>
  <w:style w:type="paragraph" w:styleId="ListParagraph">
    <w:name w:val="List Paragraph"/>
    <w:basedOn w:val="Normal"/>
    <w:uiPriority w:val="34"/>
    <w:qFormat/>
    <w:rsid w:val="00010A05"/>
    <w:pPr>
      <w:ind w:left="720"/>
      <w:contextualSpacing/>
    </w:pPr>
  </w:style>
  <w:style w:type="paragraph" w:styleId="Header">
    <w:name w:val="header"/>
    <w:basedOn w:val="Normal"/>
    <w:link w:val="HeaderChar"/>
    <w:uiPriority w:val="99"/>
    <w:unhideWhenUsed/>
    <w:rsid w:val="00010A05"/>
    <w:pPr>
      <w:tabs>
        <w:tab w:val="center" w:pos="4513"/>
        <w:tab w:val="right" w:pos="9026"/>
      </w:tabs>
    </w:pPr>
  </w:style>
  <w:style w:type="character" w:customStyle="1" w:styleId="HeaderChar">
    <w:name w:val="Header Char"/>
    <w:basedOn w:val="DefaultParagraphFont"/>
    <w:link w:val="Header"/>
    <w:uiPriority w:val="99"/>
    <w:rsid w:val="00010A05"/>
    <w:rPr>
      <w:sz w:val="24"/>
      <w:szCs w:val="24"/>
      <w:lang w:eastAsia="en-US"/>
    </w:rPr>
  </w:style>
  <w:style w:type="paragraph" w:styleId="Footer">
    <w:name w:val="footer"/>
    <w:basedOn w:val="Normal"/>
    <w:link w:val="FooterChar"/>
    <w:uiPriority w:val="99"/>
    <w:unhideWhenUsed/>
    <w:rsid w:val="00010A05"/>
    <w:pPr>
      <w:tabs>
        <w:tab w:val="center" w:pos="4513"/>
        <w:tab w:val="right" w:pos="9026"/>
      </w:tabs>
    </w:pPr>
  </w:style>
  <w:style w:type="character" w:customStyle="1" w:styleId="FooterChar">
    <w:name w:val="Footer Char"/>
    <w:basedOn w:val="DefaultParagraphFont"/>
    <w:link w:val="Footer"/>
    <w:uiPriority w:val="99"/>
    <w:rsid w:val="00010A05"/>
    <w:rPr>
      <w:sz w:val="24"/>
      <w:szCs w:val="24"/>
      <w:lang w:eastAsia="en-US"/>
    </w:rPr>
  </w:style>
  <w:style w:type="character" w:styleId="Hyperlink">
    <w:name w:val="Hyperlink"/>
    <w:basedOn w:val="DefaultParagraphFont"/>
    <w:uiPriority w:val="99"/>
    <w:unhideWhenUsed/>
    <w:rsid w:val="001E1432"/>
    <w:rPr>
      <w:color w:val="0000FF" w:themeColor="hyperlink"/>
      <w:u w:val="single"/>
    </w:rPr>
  </w:style>
  <w:style w:type="paragraph" w:styleId="EndnoteText">
    <w:name w:val="endnote text"/>
    <w:basedOn w:val="Normal"/>
    <w:link w:val="EndnoteTextChar"/>
    <w:semiHidden/>
    <w:rsid w:val="00B313D8"/>
    <w:pPr>
      <w:spacing w:after="60"/>
    </w:pPr>
    <w:rPr>
      <w:rFonts w:ascii="Arial" w:hAnsi="Arial"/>
      <w:sz w:val="16"/>
      <w:szCs w:val="20"/>
      <w:lang w:val="en-AU" w:eastAsia="en-NZ"/>
    </w:rPr>
  </w:style>
  <w:style w:type="character" w:customStyle="1" w:styleId="EndnoteTextChar">
    <w:name w:val="Endnote Text Char"/>
    <w:basedOn w:val="DefaultParagraphFont"/>
    <w:link w:val="EndnoteText"/>
    <w:semiHidden/>
    <w:rsid w:val="00B313D8"/>
    <w:rPr>
      <w:rFonts w:ascii="Arial" w:hAnsi="Arial"/>
      <w:sz w:val="16"/>
      <w:lang w:val="en-AU"/>
    </w:rPr>
  </w:style>
  <w:style w:type="paragraph" w:customStyle="1" w:styleId="CPlan-Tablebodytext">
    <w:name w:val="C Plan - Table body text"/>
    <w:basedOn w:val="BodyTextIndent"/>
    <w:link w:val="CPlan-TablebodytextChar"/>
    <w:rsid w:val="00B313D8"/>
    <w:pPr>
      <w:spacing w:before="60" w:after="60"/>
      <w:ind w:left="0"/>
    </w:pPr>
    <w:rPr>
      <w:rFonts w:ascii="Arial" w:hAnsi="Arial"/>
      <w:sz w:val="20"/>
      <w:szCs w:val="20"/>
      <w:lang w:eastAsia="en-NZ"/>
    </w:rPr>
  </w:style>
  <w:style w:type="character" w:customStyle="1" w:styleId="CPlan-TablebodytextChar">
    <w:name w:val="C Plan - Table body text Char"/>
    <w:basedOn w:val="BodyTextIndentChar"/>
    <w:link w:val="CPlan-Tablebodytext"/>
    <w:rsid w:val="00B313D8"/>
    <w:rPr>
      <w:rFonts w:ascii="Arial" w:hAnsi="Arial"/>
      <w:sz w:val="24"/>
      <w:szCs w:val="24"/>
      <w:lang w:eastAsia="en-US"/>
    </w:rPr>
  </w:style>
  <w:style w:type="paragraph" w:styleId="BodyTextIndent">
    <w:name w:val="Body Text Indent"/>
    <w:basedOn w:val="Normal"/>
    <w:link w:val="BodyTextIndentChar"/>
    <w:uiPriority w:val="99"/>
    <w:semiHidden/>
    <w:unhideWhenUsed/>
    <w:rsid w:val="00B313D8"/>
    <w:pPr>
      <w:spacing w:after="120"/>
      <w:ind w:left="283"/>
    </w:pPr>
  </w:style>
  <w:style w:type="character" w:customStyle="1" w:styleId="BodyTextIndentChar">
    <w:name w:val="Body Text Indent Char"/>
    <w:basedOn w:val="DefaultParagraphFont"/>
    <w:link w:val="BodyTextIndent"/>
    <w:uiPriority w:val="99"/>
    <w:semiHidden/>
    <w:rsid w:val="00B313D8"/>
    <w:rPr>
      <w:sz w:val="24"/>
      <w:szCs w:val="24"/>
      <w:lang w:eastAsia="en-US"/>
    </w:rPr>
  </w:style>
  <w:style w:type="character" w:customStyle="1" w:styleId="NoSpacingChar">
    <w:name w:val="No Spacing Char"/>
    <w:basedOn w:val="DefaultParagraphFont"/>
    <w:link w:val="NoSpacing"/>
    <w:uiPriority w:val="1"/>
    <w:locked/>
    <w:rsid w:val="005D778C"/>
    <w:rPr>
      <w:rFonts w:ascii="Calibri" w:hAnsi="Calibri"/>
      <w:sz w:val="22"/>
      <w:szCs w:val="22"/>
      <w:lang w:eastAsia="en-US"/>
    </w:rPr>
  </w:style>
  <w:style w:type="paragraph" w:styleId="NoSpacing">
    <w:name w:val="No Spacing"/>
    <w:link w:val="NoSpacingChar"/>
    <w:uiPriority w:val="1"/>
    <w:qFormat/>
    <w:rsid w:val="005D778C"/>
    <w:rPr>
      <w:rFonts w:ascii="Calibri" w:hAnsi="Calibri"/>
      <w:sz w:val="22"/>
      <w:szCs w:val="22"/>
      <w:lang w:eastAsia="en-US"/>
    </w:rPr>
  </w:style>
  <w:style w:type="character" w:customStyle="1" w:styleId="Style1Char">
    <w:name w:val="Style1 Char"/>
    <w:basedOn w:val="DefaultParagraphFont"/>
    <w:link w:val="Style1"/>
    <w:locked/>
    <w:rsid w:val="006D4367"/>
    <w:rPr>
      <w:rFonts w:ascii="Arial Unicode MS" w:eastAsia="Arial Unicode MS" w:hAnsi="Arial Unicode MS" w:cs="Arial Unicode MS"/>
      <w:b/>
      <w:color w:val="008F00"/>
      <w:spacing w:val="-4"/>
      <w:sz w:val="24"/>
      <w:szCs w:val="24"/>
      <w:lang w:val="en-US" w:eastAsia="en-US"/>
    </w:rPr>
  </w:style>
  <w:style w:type="paragraph" w:customStyle="1" w:styleId="Style1">
    <w:name w:val="Style1"/>
    <w:basedOn w:val="Normal"/>
    <w:link w:val="Style1Char"/>
    <w:qFormat/>
    <w:rsid w:val="006D4367"/>
    <w:pPr>
      <w:widowControl w:val="0"/>
      <w:suppressAutoHyphens/>
      <w:autoSpaceDE w:val="0"/>
      <w:autoSpaceDN w:val="0"/>
      <w:adjustRightInd w:val="0"/>
      <w:spacing w:after="99" w:line="260" w:lineRule="atLeast"/>
      <w:jc w:val="both"/>
    </w:pPr>
    <w:rPr>
      <w:rFonts w:ascii="Arial Unicode MS" w:eastAsia="Arial Unicode MS" w:hAnsi="Arial Unicode MS" w:cs="Arial Unicode MS"/>
      <w:b/>
      <w:color w:val="008F00"/>
      <w:spacing w:val="-4"/>
      <w:lang w:val="en-US"/>
    </w:rPr>
  </w:style>
  <w:style w:type="paragraph" w:styleId="BodyText">
    <w:name w:val="Body Text"/>
    <w:basedOn w:val="Normal"/>
    <w:link w:val="BodyTextChar"/>
    <w:unhideWhenUsed/>
    <w:qFormat/>
    <w:rsid w:val="005560BA"/>
    <w:pPr>
      <w:spacing w:after="120" w:line="260" w:lineRule="atLeast"/>
    </w:pPr>
    <w:rPr>
      <w:rFonts w:asciiTheme="minorHAnsi" w:eastAsiaTheme="minorHAnsi" w:hAnsiTheme="minorHAnsi" w:cstheme="minorBidi"/>
      <w:sz w:val="20"/>
      <w:szCs w:val="20"/>
      <w:lang w:val="en-GB"/>
    </w:rPr>
  </w:style>
  <w:style w:type="character" w:customStyle="1" w:styleId="BodyTextChar">
    <w:name w:val="Body Text Char"/>
    <w:basedOn w:val="DefaultParagraphFont"/>
    <w:link w:val="BodyText"/>
    <w:rsid w:val="005560BA"/>
    <w:rPr>
      <w:rFonts w:asciiTheme="minorHAnsi" w:eastAsiaTheme="minorHAnsi" w:hAnsiTheme="minorHAnsi" w:cstheme="minorBidi"/>
      <w:lang w:val="en-GB" w:eastAsia="en-US"/>
    </w:rPr>
  </w:style>
  <w:style w:type="table" w:styleId="TableGrid">
    <w:name w:val="Table Grid"/>
    <w:basedOn w:val="TableNormal"/>
    <w:rsid w:val="005560BA"/>
    <w:rPr>
      <w:rFonts w:ascii="Georgia" w:eastAsiaTheme="minorHAnsi" w:hAnsi="Georgia" w:cstheme="minorBidi"/>
      <w:lang w:val="en-GB"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caption">
    <w:name w:val="Table caption"/>
    <w:basedOn w:val="Normal"/>
    <w:uiPriority w:val="99"/>
    <w:rsid w:val="00684764"/>
    <w:pPr>
      <w:widowControl w:val="0"/>
      <w:suppressAutoHyphens/>
      <w:autoSpaceDE w:val="0"/>
      <w:autoSpaceDN w:val="0"/>
      <w:adjustRightInd w:val="0"/>
      <w:spacing w:after="170" w:line="300" w:lineRule="atLeast"/>
      <w:ind w:left="1587" w:hanging="794"/>
      <w:textAlignment w:val="center"/>
    </w:pPr>
    <w:rPr>
      <w:rFonts w:ascii="RotisSansMi" w:eastAsiaTheme="minorHAnsi" w:hAnsi="RotisSansMi" w:cs="RotisSansMi"/>
      <w:color w:val="5CB24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A0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150D8"/>
    <w:rPr>
      <w:rFonts w:ascii="Tahoma" w:hAnsi="Tahoma" w:cs="Tahoma"/>
      <w:sz w:val="16"/>
      <w:szCs w:val="16"/>
    </w:rPr>
  </w:style>
  <w:style w:type="character" w:styleId="PageNumber">
    <w:name w:val="page number"/>
    <w:basedOn w:val="DefaultParagraphFont"/>
    <w:rsid w:val="00F10268"/>
  </w:style>
  <w:style w:type="paragraph" w:customStyle="1" w:styleId="WHANAUORA">
    <w:name w:val="WHANAU ORA"/>
    <w:basedOn w:val="Normal"/>
    <w:qFormat/>
    <w:rsid w:val="00232438"/>
    <w:pPr>
      <w:widowControl w:val="0"/>
      <w:suppressAutoHyphens/>
      <w:autoSpaceDE w:val="0"/>
      <w:autoSpaceDN w:val="0"/>
      <w:adjustRightInd w:val="0"/>
      <w:spacing w:after="737" w:line="264" w:lineRule="auto"/>
      <w:textAlignment w:val="center"/>
    </w:pPr>
    <w:rPr>
      <w:rFonts w:ascii="Arial Unicode MS" w:eastAsia="Arial Unicode MS" w:hAnsi="Arial Unicode MS" w:cs="Gothic720BT-RomanB"/>
      <w:bCs/>
      <w:color w:val="7BC142"/>
      <w:spacing w:val="-10"/>
      <w:sz w:val="64"/>
      <w:szCs w:val="48"/>
      <w:lang w:val="en-US"/>
    </w:rPr>
  </w:style>
  <w:style w:type="paragraph" w:styleId="ListParagraph">
    <w:name w:val="List Paragraph"/>
    <w:basedOn w:val="Normal"/>
    <w:uiPriority w:val="34"/>
    <w:qFormat/>
    <w:rsid w:val="00010A05"/>
    <w:pPr>
      <w:ind w:left="720"/>
      <w:contextualSpacing/>
    </w:pPr>
  </w:style>
  <w:style w:type="paragraph" w:styleId="Header">
    <w:name w:val="header"/>
    <w:basedOn w:val="Normal"/>
    <w:link w:val="HeaderChar"/>
    <w:uiPriority w:val="99"/>
    <w:unhideWhenUsed/>
    <w:rsid w:val="00010A05"/>
    <w:pPr>
      <w:tabs>
        <w:tab w:val="center" w:pos="4513"/>
        <w:tab w:val="right" w:pos="9026"/>
      </w:tabs>
    </w:pPr>
  </w:style>
  <w:style w:type="character" w:customStyle="1" w:styleId="HeaderChar">
    <w:name w:val="Header Char"/>
    <w:basedOn w:val="DefaultParagraphFont"/>
    <w:link w:val="Header"/>
    <w:uiPriority w:val="99"/>
    <w:rsid w:val="00010A05"/>
    <w:rPr>
      <w:sz w:val="24"/>
      <w:szCs w:val="24"/>
      <w:lang w:eastAsia="en-US"/>
    </w:rPr>
  </w:style>
  <w:style w:type="paragraph" w:styleId="Footer">
    <w:name w:val="footer"/>
    <w:basedOn w:val="Normal"/>
    <w:link w:val="FooterChar"/>
    <w:uiPriority w:val="99"/>
    <w:unhideWhenUsed/>
    <w:rsid w:val="00010A05"/>
    <w:pPr>
      <w:tabs>
        <w:tab w:val="center" w:pos="4513"/>
        <w:tab w:val="right" w:pos="9026"/>
      </w:tabs>
    </w:pPr>
  </w:style>
  <w:style w:type="character" w:customStyle="1" w:styleId="FooterChar">
    <w:name w:val="Footer Char"/>
    <w:basedOn w:val="DefaultParagraphFont"/>
    <w:link w:val="Footer"/>
    <w:uiPriority w:val="99"/>
    <w:rsid w:val="00010A05"/>
    <w:rPr>
      <w:sz w:val="24"/>
      <w:szCs w:val="24"/>
      <w:lang w:eastAsia="en-US"/>
    </w:rPr>
  </w:style>
  <w:style w:type="character" w:styleId="Hyperlink">
    <w:name w:val="Hyperlink"/>
    <w:basedOn w:val="DefaultParagraphFont"/>
    <w:uiPriority w:val="99"/>
    <w:unhideWhenUsed/>
    <w:rsid w:val="001E1432"/>
    <w:rPr>
      <w:color w:val="0000FF" w:themeColor="hyperlink"/>
      <w:u w:val="single"/>
    </w:rPr>
  </w:style>
  <w:style w:type="paragraph" w:styleId="EndnoteText">
    <w:name w:val="endnote text"/>
    <w:basedOn w:val="Normal"/>
    <w:link w:val="EndnoteTextChar"/>
    <w:semiHidden/>
    <w:rsid w:val="00B313D8"/>
    <w:pPr>
      <w:spacing w:after="60"/>
    </w:pPr>
    <w:rPr>
      <w:rFonts w:ascii="Arial" w:hAnsi="Arial"/>
      <w:sz w:val="16"/>
      <w:szCs w:val="20"/>
      <w:lang w:val="en-AU" w:eastAsia="en-NZ"/>
    </w:rPr>
  </w:style>
  <w:style w:type="character" w:customStyle="1" w:styleId="EndnoteTextChar">
    <w:name w:val="Endnote Text Char"/>
    <w:basedOn w:val="DefaultParagraphFont"/>
    <w:link w:val="EndnoteText"/>
    <w:semiHidden/>
    <w:rsid w:val="00B313D8"/>
    <w:rPr>
      <w:rFonts w:ascii="Arial" w:hAnsi="Arial"/>
      <w:sz w:val="16"/>
      <w:lang w:val="en-AU"/>
    </w:rPr>
  </w:style>
  <w:style w:type="paragraph" w:customStyle="1" w:styleId="CPlan-Tablebodytext">
    <w:name w:val="C Plan - Table body text"/>
    <w:basedOn w:val="BodyTextIndent"/>
    <w:link w:val="CPlan-TablebodytextChar"/>
    <w:rsid w:val="00B313D8"/>
    <w:pPr>
      <w:spacing w:before="60" w:after="60"/>
      <w:ind w:left="0"/>
    </w:pPr>
    <w:rPr>
      <w:rFonts w:ascii="Arial" w:hAnsi="Arial"/>
      <w:sz w:val="20"/>
      <w:szCs w:val="20"/>
      <w:lang w:eastAsia="en-NZ"/>
    </w:rPr>
  </w:style>
  <w:style w:type="character" w:customStyle="1" w:styleId="CPlan-TablebodytextChar">
    <w:name w:val="C Plan - Table body text Char"/>
    <w:basedOn w:val="BodyTextIndentChar"/>
    <w:link w:val="CPlan-Tablebodytext"/>
    <w:rsid w:val="00B313D8"/>
    <w:rPr>
      <w:rFonts w:ascii="Arial" w:hAnsi="Arial"/>
      <w:sz w:val="24"/>
      <w:szCs w:val="24"/>
      <w:lang w:eastAsia="en-US"/>
    </w:rPr>
  </w:style>
  <w:style w:type="paragraph" w:styleId="BodyTextIndent">
    <w:name w:val="Body Text Indent"/>
    <w:basedOn w:val="Normal"/>
    <w:link w:val="BodyTextIndentChar"/>
    <w:uiPriority w:val="99"/>
    <w:semiHidden/>
    <w:unhideWhenUsed/>
    <w:rsid w:val="00B313D8"/>
    <w:pPr>
      <w:spacing w:after="120"/>
      <w:ind w:left="283"/>
    </w:pPr>
  </w:style>
  <w:style w:type="character" w:customStyle="1" w:styleId="BodyTextIndentChar">
    <w:name w:val="Body Text Indent Char"/>
    <w:basedOn w:val="DefaultParagraphFont"/>
    <w:link w:val="BodyTextIndent"/>
    <w:uiPriority w:val="99"/>
    <w:semiHidden/>
    <w:rsid w:val="00B313D8"/>
    <w:rPr>
      <w:sz w:val="24"/>
      <w:szCs w:val="24"/>
      <w:lang w:eastAsia="en-US"/>
    </w:rPr>
  </w:style>
  <w:style w:type="character" w:customStyle="1" w:styleId="NoSpacingChar">
    <w:name w:val="No Spacing Char"/>
    <w:basedOn w:val="DefaultParagraphFont"/>
    <w:link w:val="NoSpacing"/>
    <w:uiPriority w:val="1"/>
    <w:locked/>
    <w:rsid w:val="005D778C"/>
    <w:rPr>
      <w:rFonts w:ascii="Calibri" w:hAnsi="Calibri"/>
      <w:sz w:val="22"/>
      <w:szCs w:val="22"/>
      <w:lang w:eastAsia="en-US"/>
    </w:rPr>
  </w:style>
  <w:style w:type="paragraph" w:styleId="NoSpacing">
    <w:name w:val="No Spacing"/>
    <w:link w:val="NoSpacingChar"/>
    <w:uiPriority w:val="1"/>
    <w:qFormat/>
    <w:rsid w:val="005D778C"/>
    <w:rPr>
      <w:rFonts w:ascii="Calibri" w:hAnsi="Calibri"/>
      <w:sz w:val="22"/>
      <w:szCs w:val="22"/>
      <w:lang w:eastAsia="en-US"/>
    </w:rPr>
  </w:style>
  <w:style w:type="character" w:customStyle="1" w:styleId="Style1Char">
    <w:name w:val="Style1 Char"/>
    <w:basedOn w:val="DefaultParagraphFont"/>
    <w:link w:val="Style1"/>
    <w:locked/>
    <w:rsid w:val="006D4367"/>
    <w:rPr>
      <w:rFonts w:ascii="Arial Unicode MS" w:eastAsia="Arial Unicode MS" w:hAnsi="Arial Unicode MS" w:cs="Arial Unicode MS"/>
      <w:b/>
      <w:color w:val="008F00"/>
      <w:spacing w:val="-4"/>
      <w:sz w:val="24"/>
      <w:szCs w:val="24"/>
      <w:lang w:val="en-US" w:eastAsia="en-US"/>
    </w:rPr>
  </w:style>
  <w:style w:type="paragraph" w:customStyle="1" w:styleId="Style1">
    <w:name w:val="Style1"/>
    <w:basedOn w:val="Normal"/>
    <w:link w:val="Style1Char"/>
    <w:qFormat/>
    <w:rsid w:val="006D4367"/>
    <w:pPr>
      <w:widowControl w:val="0"/>
      <w:suppressAutoHyphens/>
      <w:autoSpaceDE w:val="0"/>
      <w:autoSpaceDN w:val="0"/>
      <w:adjustRightInd w:val="0"/>
      <w:spacing w:after="99" w:line="260" w:lineRule="atLeast"/>
      <w:jc w:val="both"/>
    </w:pPr>
    <w:rPr>
      <w:rFonts w:ascii="Arial Unicode MS" w:eastAsia="Arial Unicode MS" w:hAnsi="Arial Unicode MS" w:cs="Arial Unicode MS"/>
      <w:b/>
      <w:color w:val="008F00"/>
      <w:spacing w:val="-4"/>
      <w:lang w:val="en-US"/>
    </w:rPr>
  </w:style>
  <w:style w:type="paragraph" w:styleId="BodyText">
    <w:name w:val="Body Text"/>
    <w:basedOn w:val="Normal"/>
    <w:link w:val="BodyTextChar"/>
    <w:unhideWhenUsed/>
    <w:qFormat/>
    <w:rsid w:val="005560BA"/>
    <w:pPr>
      <w:spacing w:after="120" w:line="260" w:lineRule="atLeast"/>
    </w:pPr>
    <w:rPr>
      <w:rFonts w:asciiTheme="minorHAnsi" w:eastAsiaTheme="minorHAnsi" w:hAnsiTheme="minorHAnsi" w:cstheme="minorBidi"/>
      <w:sz w:val="20"/>
      <w:szCs w:val="20"/>
      <w:lang w:val="en-GB"/>
    </w:rPr>
  </w:style>
  <w:style w:type="character" w:customStyle="1" w:styleId="BodyTextChar">
    <w:name w:val="Body Text Char"/>
    <w:basedOn w:val="DefaultParagraphFont"/>
    <w:link w:val="BodyText"/>
    <w:rsid w:val="005560BA"/>
    <w:rPr>
      <w:rFonts w:asciiTheme="minorHAnsi" w:eastAsiaTheme="minorHAnsi" w:hAnsiTheme="minorHAnsi" w:cstheme="minorBidi"/>
      <w:lang w:val="en-GB" w:eastAsia="en-US"/>
    </w:rPr>
  </w:style>
  <w:style w:type="table" w:styleId="TableGrid">
    <w:name w:val="Table Grid"/>
    <w:basedOn w:val="TableNormal"/>
    <w:rsid w:val="005560BA"/>
    <w:rPr>
      <w:rFonts w:ascii="Georgia" w:eastAsiaTheme="minorHAnsi" w:hAnsi="Georgia" w:cstheme="minorBidi"/>
      <w:lang w:val="en-GB"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caption">
    <w:name w:val="Table caption"/>
    <w:basedOn w:val="Normal"/>
    <w:uiPriority w:val="99"/>
    <w:rsid w:val="00684764"/>
    <w:pPr>
      <w:widowControl w:val="0"/>
      <w:suppressAutoHyphens/>
      <w:autoSpaceDE w:val="0"/>
      <w:autoSpaceDN w:val="0"/>
      <w:adjustRightInd w:val="0"/>
      <w:spacing w:after="170" w:line="300" w:lineRule="atLeast"/>
      <w:ind w:left="1587" w:hanging="794"/>
      <w:textAlignment w:val="center"/>
    </w:pPr>
    <w:rPr>
      <w:rFonts w:ascii="RotisSansMi" w:eastAsiaTheme="minorHAnsi" w:hAnsi="RotisSansMi" w:cs="RotisSansMi"/>
      <w:color w:val="5CB24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054238">
      <w:bodyDiv w:val="1"/>
      <w:marLeft w:val="0"/>
      <w:marRight w:val="0"/>
      <w:marTop w:val="0"/>
      <w:marBottom w:val="0"/>
      <w:divBdr>
        <w:top w:val="none" w:sz="0" w:space="0" w:color="auto"/>
        <w:left w:val="none" w:sz="0" w:space="0" w:color="auto"/>
        <w:bottom w:val="none" w:sz="0" w:space="0" w:color="auto"/>
        <w:right w:val="none" w:sz="0" w:space="0" w:color="auto"/>
      </w:divBdr>
    </w:div>
    <w:div w:id="1538199396">
      <w:bodyDiv w:val="1"/>
      <w:marLeft w:val="0"/>
      <w:marRight w:val="0"/>
      <w:marTop w:val="0"/>
      <w:marBottom w:val="0"/>
      <w:divBdr>
        <w:top w:val="none" w:sz="0" w:space="0" w:color="auto"/>
        <w:left w:val="single" w:sz="6" w:space="12" w:color="989898"/>
        <w:bottom w:val="none" w:sz="0" w:space="0" w:color="auto"/>
        <w:right w:val="single" w:sz="6" w:space="0" w:color="989898"/>
      </w:divBdr>
      <w:divsChild>
        <w:div w:id="1948853143">
          <w:marLeft w:val="0"/>
          <w:marRight w:val="0"/>
          <w:marTop w:val="0"/>
          <w:marBottom w:val="0"/>
          <w:divBdr>
            <w:top w:val="none" w:sz="0" w:space="0" w:color="auto"/>
            <w:left w:val="none" w:sz="0" w:space="0" w:color="auto"/>
            <w:bottom w:val="none" w:sz="0" w:space="0" w:color="auto"/>
            <w:right w:val="none" w:sz="0" w:space="0" w:color="auto"/>
          </w:divBdr>
          <w:divsChild>
            <w:div w:id="1592154071">
              <w:marLeft w:val="0"/>
              <w:marRight w:val="0"/>
              <w:marTop w:val="0"/>
              <w:marBottom w:val="0"/>
              <w:divBdr>
                <w:top w:val="none" w:sz="0" w:space="0" w:color="auto"/>
                <w:left w:val="none" w:sz="0" w:space="0" w:color="auto"/>
                <w:bottom w:val="none" w:sz="0" w:space="0" w:color="auto"/>
                <w:right w:val="none" w:sz="0" w:space="0" w:color="auto"/>
              </w:divBdr>
              <w:divsChild>
                <w:div w:id="1925337610">
                  <w:marLeft w:val="3600"/>
                  <w:marRight w:val="219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4331</Words>
  <Characters>25228</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
    </vt:vector>
  </TitlesOfParts>
  <Company>Te Puni Kokiri</Company>
  <LinksUpToDate>false</LinksUpToDate>
  <CharactersWithSpaces>29501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Whanau Ora Market Sounding Brief - 25 Hōngongoi / July 2013</dc:title>
  <dc:subject/>
  <dc:creator>bidov</dc:creator>
  <cp:keywords/>
  <cp:lastModifiedBy>sided</cp:lastModifiedBy>
  <cp:revision>5</cp:revision>
  <cp:lastPrinted>2013-07-18T23:11:00Z</cp:lastPrinted>
  <dcterms:created xsi:type="dcterms:W3CDTF">2013-07-24T21:23:00Z</dcterms:created>
  <dcterms:modified xsi:type="dcterms:W3CDTF">2013-08-02T04:20:00Z</dcterms:modified>
</cp:coreProperties>
</file>